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71" w:rsidRDefault="004C5D71" w:rsidP="004C5D71">
      <w:pPr>
        <w:spacing w:line="278" w:lineRule="auto"/>
        <w:ind w:left="216" w:right="151" w:firstLine="707"/>
        <w:jc w:val="both"/>
      </w:pPr>
    </w:p>
    <w:p w:rsidR="004C5D71" w:rsidRPr="004C5D71" w:rsidRDefault="004C5D71" w:rsidP="004C5D71">
      <w:pPr>
        <w:spacing w:line="278" w:lineRule="auto"/>
        <w:ind w:left="216" w:right="151" w:firstLine="707"/>
        <w:jc w:val="center"/>
        <w:rPr>
          <w:b/>
          <w:sz w:val="28"/>
          <w:szCs w:val="28"/>
        </w:rPr>
      </w:pPr>
      <w:r w:rsidRPr="004C5D71">
        <w:rPr>
          <w:b/>
          <w:sz w:val="28"/>
          <w:szCs w:val="28"/>
        </w:rPr>
        <w:t>Hodnotenie – výtvarná výchova</w:t>
      </w:r>
    </w:p>
    <w:p w:rsidR="004C5D71" w:rsidRDefault="004C5D71" w:rsidP="004C5D71">
      <w:pPr>
        <w:spacing w:line="278" w:lineRule="auto"/>
        <w:ind w:left="216" w:right="151" w:firstLine="707"/>
        <w:jc w:val="both"/>
        <w:rPr>
          <w:b/>
        </w:rPr>
      </w:pPr>
      <w:r>
        <w:t xml:space="preserve">Pri hodnotení žiakov (jednotlivcov i skupín, formou ústneho i písomného skúšania) postupujeme podľa </w:t>
      </w:r>
      <w:r>
        <w:rPr>
          <w:b/>
        </w:rPr>
        <w:t>Metodického pokynu č. 22/2011-R na hodnotenie a klasifikáciu žiakov základnej školy.</w:t>
      </w:r>
    </w:p>
    <w:p w:rsidR="004C5D71" w:rsidRDefault="004C5D71" w:rsidP="004C5D71">
      <w:pPr>
        <w:pStyle w:val="Zkladntext"/>
        <w:spacing w:before="193"/>
        <w:ind w:left="727" w:right="5126" w:hanging="512"/>
      </w:pPr>
      <w:r>
        <w:t>Prospech žiaka sa klasifikuje týmito stupňami: 1 – výborný,</w:t>
      </w:r>
    </w:p>
    <w:p w:rsidR="004C5D71" w:rsidRDefault="004C5D71" w:rsidP="004C5D71">
      <w:pPr>
        <w:pStyle w:val="Odsekzoznamu"/>
        <w:numPr>
          <w:ilvl w:val="0"/>
          <w:numId w:val="1"/>
        </w:numPr>
        <w:tabs>
          <w:tab w:val="left" w:pos="891"/>
        </w:tabs>
        <w:spacing w:line="267" w:lineRule="exact"/>
        <w:ind w:hanging="163"/>
      </w:pPr>
      <w:r>
        <w:t>–</w:t>
      </w:r>
      <w:r>
        <w:rPr>
          <w:spacing w:val="-2"/>
        </w:rPr>
        <w:t xml:space="preserve"> </w:t>
      </w:r>
      <w:r>
        <w:t>chválitebný,</w:t>
      </w:r>
    </w:p>
    <w:p w:rsidR="004C5D71" w:rsidRDefault="004C5D71" w:rsidP="004C5D71">
      <w:pPr>
        <w:pStyle w:val="Odsekzoznamu"/>
        <w:numPr>
          <w:ilvl w:val="0"/>
          <w:numId w:val="1"/>
        </w:numPr>
        <w:tabs>
          <w:tab w:val="left" w:pos="891"/>
        </w:tabs>
        <w:ind w:hanging="163"/>
      </w:pPr>
      <w:r>
        <w:t>–</w:t>
      </w:r>
      <w:r>
        <w:rPr>
          <w:spacing w:val="1"/>
        </w:rPr>
        <w:t xml:space="preserve"> </w:t>
      </w:r>
      <w:r>
        <w:t>dobrý,</w:t>
      </w:r>
    </w:p>
    <w:p w:rsidR="004C5D71" w:rsidRDefault="004C5D71" w:rsidP="004C5D71">
      <w:pPr>
        <w:pStyle w:val="Odsekzoznamu"/>
        <w:numPr>
          <w:ilvl w:val="0"/>
          <w:numId w:val="1"/>
        </w:numPr>
        <w:tabs>
          <w:tab w:val="left" w:pos="891"/>
        </w:tabs>
        <w:spacing w:before="1"/>
        <w:ind w:hanging="163"/>
      </w:pPr>
      <w:r>
        <w:t>– dostatočný,</w:t>
      </w:r>
    </w:p>
    <w:p w:rsidR="004C5D71" w:rsidRDefault="004C5D71" w:rsidP="004C5D71">
      <w:pPr>
        <w:pStyle w:val="Odsekzoznamu"/>
        <w:numPr>
          <w:ilvl w:val="0"/>
          <w:numId w:val="1"/>
        </w:numPr>
        <w:tabs>
          <w:tab w:val="left" w:pos="891"/>
        </w:tabs>
        <w:ind w:hanging="163"/>
      </w:pPr>
      <w:r>
        <w:t>– nedostatočný.</w:t>
      </w:r>
    </w:p>
    <w:p w:rsidR="004C5D71" w:rsidRDefault="004C5D71" w:rsidP="004C5D71">
      <w:pPr>
        <w:pStyle w:val="Zkladntext"/>
        <w:spacing w:before="3"/>
        <w:rPr>
          <w:sz w:val="24"/>
        </w:rPr>
      </w:pPr>
    </w:p>
    <w:p w:rsidR="004C5D71" w:rsidRDefault="004C5D71" w:rsidP="004C5D71">
      <w:pPr>
        <w:pStyle w:val="Zkladntext"/>
        <w:ind w:left="216"/>
        <w:jc w:val="both"/>
      </w:pPr>
      <w:r>
        <w:t>Stupeň 1 (výborný)</w:t>
      </w:r>
    </w:p>
    <w:p w:rsidR="004C5D71" w:rsidRDefault="004C5D71" w:rsidP="004C5D71">
      <w:pPr>
        <w:pStyle w:val="Zkladntext"/>
        <w:spacing w:before="6"/>
        <w:rPr>
          <w:sz w:val="19"/>
        </w:rPr>
      </w:pPr>
    </w:p>
    <w:p w:rsidR="004C5D71" w:rsidRDefault="004C5D71" w:rsidP="004C5D71">
      <w:pPr>
        <w:pStyle w:val="Zkladntext"/>
        <w:spacing w:line="276" w:lineRule="auto"/>
        <w:ind w:left="216" w:right="152"/>
        <w:jc w:val="both"/>
      </w:pPr>
      <w:r>
        <w:t>Žiak ovláda poznatky, pojmy a zákonitosti podľa učebných osnov a vie ich pohotovo využívať pri intelektuálnych, motorických, praktických a iných činnostiach. Samostatne a tvorivo uplatňuje osvojené   vedomosti   a kľúčové   kompetencie   pri   riešení   jednotlivých   úloh,    hodnotení   javov a zákonitostí. Jeho ústny aj písomný prejav je správny, výstižný. Grafický prejav je estetický. Výsledky jeho činností sú kvalitné až</w:t>
      </w:r>
      <w:r>
        <w:rPr>
          <w:spacing w:val="-8"/>
        </w:rPr>
        <w:t xml:space="preserve"> </w:t>
      </w:r>
      <w:r>
        <w:t>originálne.</w:t>
      </w:r>
    </w:p>
    <w:p w:rsidR="004C5D71" w:rsidRDefault="004C5D71" w:rsidP="004C5D71">
      <w:pPr>
        <w:pStyle w:val="Zkladntext"/>
        <w:spacing w:before="7"/>
        <w:rPr>
          <w:sz w:val="16"/>
        </w:rPr>
      </w:pPr>
    </w:p>
    <w:p w:rsidR="004C5D71" w:rsidRDefault="004C5D71" w:rsidP="004C5D71">
      <w:pPr>
        <w:pStyle w:val="Zkladntext"/>
        <w:ind w:left="216"/>
      </w:pPr>
      <w:r>
        <w:t>Stupeň 2 (chválitebný)</w:t>
      </w:r>
    </w:p>
    <w:p w:rsidR="004C5D71" w:rsidRDefault="004C5D71" w:rsidP="004C5D71">
      <w:pPr>
        <w:pStyle w:val="Zkladntext"/>
        <w:spacing w:before="6"/>
        <w:rPr>
          <w:sz w:val="19"/>
        </w:rPr>
      </w:pPr>
    </w:p>
    <w:p w:rsidR="004C5D71" w:rsidRDefault="004C5D71" w:rsidP="004C5D71">
      <w:pPr>
        <w:pStyle w:val="Zkladntext"/>
        <w:spacing w:line="276" w:lineRule="auto"/>
        <w:ind w:left="216" w:right="152"/>
        <w:jc w:val="both"/>
      </w:pPr>
      <w:r>
        <w:t>Žiak ovláda poznatky, pojmy a zákonitosti podľa učebných osnov a vie ich pohotovo využívať. Má osvojené kľúčové kompetencie, ktoré tvorivo aplikuje pri intelektuálnych, motorických, praktických   a iných činnostiach. Uplatňuje osvojené vedomosti a kľúčové kompetencie pri riešení jednotlivých úloh, hodnotení javov a zákonitostí samostatne a kreatívne alebo s menšími podnetmi učiteľa. Jeho ústny aj písomný prejav má občas nedostatky v správnosti, presnosti a výstižnosti. Grafický prejav je prevažne estetický. Výsledky jeho činností sú kvalitné, bez väčších</w:t>
      </w:r>
      <w:r>
        <w:rPr>
          <w:spacing w:val="-11"/>
        </w:rPr>
        <w:t xml:space="preserve"> </w:t>
      </w:r>
      <w:r>
        <w:t>nedostatkov.</w:t>
      </w:r>
    </w:p>
    <w:p w:rsidR="004C5D71" w:rsidRDefault="004C5D71" w:rsidP="004C5D71">
      <w:pPr>
        <w:pStyle w:val="Zkladntext"/>
        <w:spacing w:before="7"/>
        <w:rPr>
          <w:sz w:val="16"/>
        </w:rPr>
      </w:pPr>
    </w:p>
    <w:p w:rsidR="004C5D71" w:rsidRDefault="004C5D71" w:rsidP="004C5D71">
      <w:pPr>
        <w:pStyle w:val="Zkladntext"/>
        <w:ind w:left="216"/>
      </w:pPr>
      <w:r>
        <w:t>Stupeň 3 (dobrý)</w:t>
      </w:r>
    </w:p>
    <w:p w:rsidR="004C5D71" w:rsidRDefault="004C5D71" w:rsidP="004C5D71">
      <w:pPr>
        <w:pStyle w:val="Zkladntext"/>
        <w:spacing w:before="6"/>
        <w:rPr>
          <w:sz w:val="19"/>
        </w:rPr>
      </w:pPr>
    </w:p>
    <w:p w:rsidR="004C5D71" w:rsidRDefault="004C5D71" w:rsidP="004C5D71">
      <w:pPr>
        <w:pStyle w:val="Zkladntext"/>
        <w:spacing w:before="34" w:line="276" w:lineRule="auto"/>
        <w:ind w:right="153"/>
        <w:jc w:val="both"/>
      </w:pPr>
      <w:r>
        <w:t>Žiak má v celistvosti a úplnosti osvojené poznatky, pojmy a zákonitosti podľa učebných osnov a pri  ich využívaní má nepodstatné medzery. Má osvojené kľúčové kompetencie, ktoré</w:t>
      </w:r>
      <w:r>
        <w:rPr>
          <w:spacing w:val="38"/>
        </w:rPr>
        <w:t xml:space="preserve"> </w:t>
      </w:r>
      <w:r>
        <w:t>využíva pri intelektuálnych, motorických, praktických a iných činnostiach s menšími nedostatkami. Na podnet učiteľa uplatňuje osvojené vedomosti a kľúčové kompetencie pri riešení jednotlivých úloh, hodnotení javov  a zákonitostí.  Podstatnejšie  nepresnosti  dokáže  s učiteľovou  pomocou  opraviť.  V ústnom   a písomnom prejave má častejšie nedostatky v správnosti, presnosti, výstižnosti. Grafický prejav je menej estetický. Výsledky jeho činností sú menej</w:t>
      </w:r>
      <w:r>
        <w:rPr>
          <w:spacing w:val="-9"/>
        </w:rPr>
        <w:t xml:space="preserve"> </w:t>
      </w:r>
      <w:r>
        <w:t>kvalitné.</w:t>
      </w:r>
    </w:p>
    <w:p w:rsidR="004C5D71" w:rsidRDefault="004C5D71" w:rsidP="004C5D71">
      <w:pPr>
        <w:pStyle w:val="Zkladntext"/>
        <w:spacing w:before="8"/>
        <w:rPr>
          <w:sz w:val="16"/>
        </w:rPr>
      </w:pPr>
    </w:p>
    <w:p w:rsidR="004C5D71" w:rsidRDefault="004C5D71" w:rsidP="004C5D71">
      <w:pPr>
        <w:pStyle w:val="Zkladntext"/>
        <w:ind w:left="216"/>
      </w:pPr>
      <w:r>
        <w:t>Stupeň 4 (dostatočný)</w:t>
      </w:r>
    </w:p>
    <w:p w:rsidR="004C5D71" w:rsidRDefault="004C5D71" w:rsidP="004C5D71">
      <w:pPr>
        <w:pStyle w:val="Zkladntext"/>
        <w:spacing w:before="6"/>
        <w:rPr>
          <w:sz w:val="19"/>
        </w:rPr>
      </w:pPr>
    </w:p>
    <w:p w:rsidR="004C5D71" w:rsidRDefault="004C5D71" w:rsidP="004C5D71">
      <w:pPr>
        <w:pStyle w:val="Zkladntext"/>
        <w:spacing w:line="276" w:lineRule="auto"/>
        <w:ind w:left="216" w:right="151"/>
        <w:jc w:val="both"/>
      </w:pPr>
      <w:r>
        <w:t>Žiak má závažné medzery v celistvosti a úplnosti osvojenia poznatkov a zákonitostí podľa učebných osnov ako aj v ich využívaní. Pri riešení teoretických a praktických úloh s uplatňovaním kľúčových kompetencií sa vyskytujú podstatné chyby. Je nesamostatný pri využívaní poznatkov a hodnotení javov. Jeho ústny aj písomný prejav má často v správnosti, presnosti a výstižnosti vážne nedostatky.  V kvalite výsledkov jeho činností sa prejavujú omyly, grafický prejav je málo estetický. Vážne nedostatky dokáže žiak s pomocou učiteľa</w:t>
      </w:r>
      <w:r>
        <w:rPr>
          <w:spacing w:val="-6"/>
        </w:rPr>
        <w:t xml:space="preserve"> </w:t>
      </w:r>
      <w:r>
        <w:t>opraviť.</w:t>
      </w:r>
    </w:p>
    <w:p w:rsidR="004C5D71" w:rsidRDefault="004C5D71" w:rsidP="004C5D71">
      <w:pPr>
        <w:pStyle w:val="Zkladntext"/>
        <w:spacing w:before="9"/>
        <w:rPr>
          <w:sz w:val="16"/>
        </w:rPr>
      </w:pPr>
    </w:p>
    <w:p w:rsidR="004C5D71" w:rsidRDefault="004C5D71" w:rsidP="004C5D71">
      <w:pPr>
        <w:pStyle w:val="Zkladntext"/>
        <w:ind w:left="216"/>
      </w:pPr>
    </w:p>
    <w:p w:rsidR="004C5D71" w:rsidRDefault="004C5D71" w:rsidP="004C5D71">
      <w:pPr>
        <w:pStyle w:val="Zkladntext"/>
        <w:ind w:left="216"/>
      </w:pPr>
    </w:p>
    <w:p w:rsidR="004C5D71" w:rsidRDefault="004C5D71" w:rsidP="004C5D71">
      <w:pPr>
        <w:pStyle w:val="Zkladntext"/>
        <w:ind w:left="216"/>
      </w:pPr>
      <w:r>
        <w:t>Stupeň 5 (nedostatočný)</w:t>
      </w:r>
    </w:p>
    <w:p w:rsidR="004C5D71" w:rsidRDefault="004C5D71" w:rsidP="004C5D71">
      <w:pPr>
        <w:pStyle w:val="Zkladntext"/>
        <w:spacing w:before="6"/>
        <w:rPr>
          <w:sz w:val="19"/>
        </w:rPr>
      </w:pPr>
    </w:p>
    <w:p w:rsidR="004C5D71" w:rsidRDefault="004C5D71" w:rsidP="004C5D71">
      <w:pPr>
        <w:pStyle w:val="Zkladntext"/>
        <w:spacing w:line="276" w:lineRule="auto"/>
        <w:ind w:left="216" w:right="152"/>
        <w:jc w:val="both"/>
      </w:pPr>
      <w:r>
        <w:t>Žiak si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a písomný prejav  je nesprávny, nepresný. Kvalita výsledkov jeho činností a grafický prejav sú na nízkej úrovni. Vážne nedostatky nedokáže opraviť ani s pomocou</w:t>
      </w:r>
      <w:r>
        <w:rPr>
          <w:spacing w:val="-8"/>
        </w:rPr>
        <w:t xml:space="preserve"> </w:t>
      </w:r>
      <w:r>
        <w:t>učiteľa.</w:t>
      </w:r>
    </w:p>
    <w:p w:rsidR="004C5D71" w:rsidRDefault="004C5D71" w:rsidP="004C5D71">
      <w:pPr>
        <w:pStyle w:val="Zkladntext"/>
        <w:spacing w:line="276" w:lineRule="auto"/>
        <w:ind w:left="216" w:right="151"/>
        <w:jc w:val="both"/>
      </w:pPr>
    </w:p>
    <w:p w:rsidR="004C5D71" w:rsidRDefault="004C5D71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p w:rsidR="00235E53" w:rsidRDefault="00235E53" w:rsidP="004C5D71">
      <w:pPr>
        <w:jc w:val="both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6837"/>
      </w:tblGrid>
      <w:tr w:rsidR="004C5D71" w:rsidTr="00B6575E">
        <w:trPr>
          <w:trHeight w:val="825"/>
        </w:trPr>
        <w:tc>
          <w:tcPr>
            <w:tcW w:w="9214" w:type="dxa"/>
            <w:gridSpan w:val="2"/>
          </w:tcPr>
          <w:p w:rsidR="004C5D71" w:rsidRDefault="004C5D71" w:rsidP="00B6575E">
            <w:pPr>
              <w:pStyle w:val="TableParagraph"/>
              <w:spacing w:before="240"/>
              <w:ind w:left="1348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Hodnotenie a klasifikácia výchovných predmetov</w:t>
            </w:r>
          </w:p>
        </w:tc>
      </w:tr>
      <w:tr w:rsidR="004C5D71" w:rsidTr="00B6575E">
        <w:trPr>
          <w:trHeight w:val="635"/>
        </w:trPr>
        <w:tc>
          <w:tcPr>
            <w:tcW w:w="2377" w:type="dxa"/>
          </w:tcPr>
          <w:p w:rsidR="004C5D71" w:rsidRDefault="004C5D71" w:rsidP="00B6575E">
            <w:pPr>
              <w:pStyle w:val="TableParagraph"/>
              <w:spacing w:before="2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6837" w:type="dxa"/>
          </w:tcPr>
          <w:p w:rsidR="004C5D71" w:rsidRDefault="004C5D71" w:rsidP="00B6575E">
            <w:pPr>
              <w:pStyle w:val="TableParagraph"/>
              <w:spacing w:before="2" w:line="341" w:lineRule="exact"/>
              <w:ind w:left="10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Hodnotenie známkou</w:t>
            </w:r>
          </w:p>
          <w:p w:rsidR="004C5D71" w:rsidRDefault="004C5D71" w:rsidP="00B6575E">
            <w:pPr>
              <w:pStyle w:val="TableParagraph"/>
              <w:spacing w:line="27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(hodnota známky 100%)</w:t>
            </w:r>
          </w:p>
        </w:tc>
      </w:tr>
      <w:tr w:rsidR="004C5D71" w:rsidTr="00B6575E">
        <w:trPr>
          <w:trHeight w:val="5512"/>
        </w:trPr>
        <w:tc>
          <w:tcPr>
            <w:tcW w:w="2377" w:type="dxa"/>
          </w:tcPr>
          <w:p w:rsidR="004C5D71" w:rsidRDefault="004C5D71" w:rsidP="00B6575E">
            <w:pPr>
              <w:pStyle w:val="TableParagraph"/>
              <w:spacing w:line="265" w:lineRule="exact"/>
              <w:ind w:left="107" w:firstLine="0"/>
              <w:rPr>
                <w:b/>
              </w:rPr>
            </w:pPr>
            <w:r>
              <w:rPr>
                <w:b/>
              </w:rPr>
              <w:t>Výtvarná výchova</w:t>
            </w:r>
          </w:p>
        </w:tc>
        <w:tc>
          <w:tcPr>
            <w:tcW w:w="6837" w:type="dxa"/>
          </w:tcPr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7" w:lineRule="exact"/>
              <w:ind w:hanging="360"/>
              <w:rPr>
                <w:b/>
              </w:rPr>
            </w:pPr>
            <w:r>
              <w:rPr>
                <w:b/>
              </w:rPr>
              <w:t>Praktická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činnosť</w:t>
            </w:r>
          </w:p>
          <w:p w:rsidR="004C5D71" w:rsidRDefault="004C5D71" w:rsidP="00B6575E">
            <w:pPr>
              <w:pStyle w:val="TableParagraph"/>
              <w:ind w:left="107" w:firstLine="0"/>
            </w:pPr>
            <w:r>
              <w:t>Kresba, maľba, kombinované techniky, priestorové práce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360"/>
              <w:rPr>
                <w:b/>
              </w:rPr>
            </w:pPr>
            <w:r>
              <w:rPr>
                <w:b/>
              </w:rPr>
              <w:t>Percepčné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činnosti</w:t>
            </w:r>
          </w:p>
          <w:p w:rsidR="004C5D71" w:rsidRDefault="004C5D71" w:rsidP="00B6575E">
            <w:pPr>
              <w:pStyle w:val="TableParagraph"/>
              <w:spacing w:before="1"/>
              <w:ind w:left="107" w:firstLine="0"/>
            </w:pPr>
            <w:r>
              <w:t>Interpretácia výtvarných diel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9" w:lineRule="exact"/>
              <w:ind w:hanging="360"/>
              <w:rPr>
                <w:b/>
              </w:rPr>
            </w:pPr>
            <w:r>
              <w:rPr>
                <w:b/>
              </w:rPr>
              <w:t>Teoretické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vedomosti</w:t>
            </w:r>
          </w:p>
          <w:p w:rsidR="004C5D71" w:rsidRDefault="004C5D71" w:rsidP="00B6575E">
            <w:pPr>
              <w:pStyle w:val="TableParagraph"/>
              <w:spacing w:line="267" w:lineRule="exact"/>
              <w:ind w:left="107" w:firstLine="0"/>
            </w:pPr>
            <w:r>
              <w:t>Vedomosti z teórie a dejín výtvarného umenia (podľa učebných osnov)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hanging="360"/>
              <w:rPr>
                <w:b/>
              </w:rPr>
            </w:pPr>
            <w:r>
              <w:rPr>
                <w:b/>
              </w:rPr>
              <w:t>Projekty</w:t>
            </w:r>
          </w:p>
          <w:p w:rsidR="004C5D71" w:rsidRDefault="004C5D71" w:rsidP="00B6575E">
            <w:pPr>
              <w:pStyle w:val="TableParagraph"/>
              <w:ind w:left="107" w:firstLine="0"/>
            </w:pPr>
            <w:r>
              <w:t>Spracovanie výtvarného projektu</w:t>
            </w:r>
          </w:p>
          <w:p w:rsidR="004C5D71" w:rsidRDefault="004C5D71" w:rsidP="00B6575E">
            <w:pPr>
              <w:pStyle w:val="TableParagraph"/>
              <w:ind w:left="0" w:firstLine="0"/>
            </w:pPr>
          </w:p>
          <w:p w:rsidR="004C5D71" w:rsidRDefault="004C5D71" w:rsidP="00B6575E">
            <w:pPr>
              <w:pStyle w:val="TableParagraph"/>
              <w:spacing w:before="1"/>
              <w:ind w:left="107" w:firstLine="0"/>
              <w:rPr>
                <w:b/>
              </w:rPr>
            </w:pPr>
            <w:r>
              <w:rPr>
                <w:b/>
              </w:rPr>
              <w:t>Doplnkové kritériá na hodnotenie a klasifikáciu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žiakov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0"/>
            </w:pPr>
            <w:r>
              <w:t>Aktivita a pripravenosť na</w:t>
            </w:r>
            <w:r>
              <w:rPr>
                <w:spacing w:val="-9"/>
              </w:rPr>
              <w:t xml:space="preserve"> </w:t>
            </w:r>
            <w:r>
              <w:t>vyučovanie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0"/>
            </w:pPr>
            <w:r>
              <w:t>Prístup žiaka k aplikácii</w:t>
            </w:r>
            <w:r>
              <w:rPr>
                <w:spacing w:val="-5"/>
              </w:rPr>
              <w:t xml:space="preserve"> </w:t>
            </w:r>
            <w:r>
              <w:t>techník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0"/>
            </w:pPr>
            <w:r>
              <w:t>Kreativita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0"/>
            </w:pPr>
            <w:r>
              <w:t>Spolupráca so spolužiakmi a</w:t>
            </w:r>
            <w:r>
              <w:rPr>
                <w:spacing w:val="-2"/>
              </w:rPr>
              <w:t xml:space="preserve"> </w:t>
            </w:r>
            <w:r>
              <w:t>vyučujúcim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0"/>
            </w:pPr>
            <w:r>
              <w:t>Individuálna</w:t>
            </w:r>
            <w:r>
              <w:rPr>
                <w:spacing w:val="-1"/>
              </w:rPr>
              <w:t xml:space="preserve"> </w:t>
            </w:r>
            <w:r>
              <w:t>práca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0"/>
            </w:pPr>
            <w:r>
              <w:t>Spracovanie danej</w:t>
            </w:r>
            <w:r>
              <w:rPr>
                <w:spacing w:val="-1"/>
              </w:rPr>
              <w:t xml:space="preserve"> </w:t>
            </w:r>
            <w:r>
              <w:t>témy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0"/>
            </w:pPr>
            <w:r>
              <w:t>Účasť a úspešnosť vo výtvarných</w:t>
            </w:r>
            <w:r>
              <w:rPr>
                <w:spacing w:val="-8"/>
              </w:rPr>
              <w:t xml:space="preserve"> </w:t>
            </w:r>
            <w:r>
              <w:t>súťažiach</w:t>
            </w:r>
          </w:p>
          <w:p w:rsidR="004C5D71" w:rsidRDefault="004C5D71" w:rsidP="004C5D7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66" w:hanging="360"/>
            </w:pPr>
            <w:r>
              <w:t>Účasť na školských a kultúrno-spoločenských aktivitách školy: výzdoba školy, príprava výstaviek a</w:t>
            </w:r>
            <w:r>
              <w:rPr>
                <w:spacing w:val="-6"/>
              </w:rPr>
              <w:t xml:space="preserve"> </w:t>
            </w:r>
            <w:r>
              <w:t>prezentácií</w:t>
            </w:r>
          </w:p>
        </w:tc>
      </w:tr>
    </w:tbl>
    <w:p w:rsidR="004C5D71" w:rsidRDefault="004C5D71" w:rsidP="004C5D71">
      <w:pPr>
        <w:jc w:val="both"/>
        <w:sectPr w:rsidR="004C5D71" w:rsidSect="00235E53">
          <w:pgSz w:w="16840" w:h="11910" w:orient="landscape"/>
          <w:pgMar w:top="1200" w:right="1400" w:bottom="1260" w:left="280" w:header="708" w:footer="708" w:gutter="0"/>
          <w:cols w:space="708"/>
          <w:docGrid w:linePitch="299"/>
        </w:sectPr>
      </w:pPr>
    </w:p>
    <w:p w:rsidR="00875003" w:rsidRDefault="00875003"/>
    <w:sectPr w:rsidR="00875003" w:rsidSect="00A3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241"/>
    <w:multiLevelType w:val="hybridMultilevel"/>
    <w:tmpl w:val="3DA2CDB6"/>
    <w:lvl w:ilvl="0" w:tplc="6F987832">
      <w:start w:val="2"/>
      <w:numFmt w:val="decimal"/>
      <w:lvlText w:val="%1"/>
      <w:lvlJc w:val="left"/>
      <w:pPr>
        <w:ind w:left="890" w:hanging="16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A4E8C98">
      <w:numFmt w:val="bullet"/>
      <w:lvlText w:val="•"/>
      <w:lvlJc w:val="left"/>
      <w:pPr>
        <w:ind w:left="1754" w:hanging="164"/>
      </w:pPr>
      <w:rPr>
        <w:rFonts w:hint="default"/>
      </w:rPr>
    </w:lvl>
    <w:lvl w:ilvl="2" w:tplc="2A324C56">
      <w:numFmt w:val="bullet"/>
      <w:lvlText w:val="•"/>
      <w:lvlJc w:val="left"/>
      <w:pPr>
        <w:ind w:left="2609" w:hanging="164"/>
      </w:pPr>
      <w:rPr>
        <w:rFonts w:hint="default"/>
      </w:rPr>
    </w:lvl>
    <w:lvl w:ilvl="3" w:tplc="DF6478AC">
      <w:numFmt w:val="bullet"/>
      <w:lvlText w:val="•"/>
      <w:lvlJc w:val="left"/>
      <w:pPr>
        <w:ind w:left="3463" w:hanging="164"/>
      </w:pPr>
      <w:rPr>
        <w:rFonts w:hint="default"/>
      </w:rPr>
    </w:lvl>
    <w:lvl w:ilvl="4" w:tplc="DB087590">
      <w:numFmt w:val="bullet"/>
      <w:lvlText w:val="•"/>
      <w:lvlJc w:val="left"/>
      <w:pPr>
        <w:ind w:left="4318" w:hanging="164"/>
      </w:pPr>
      <w:rPr>
        <w:rFonts w:hint="default"/>
      </w:rPr>
    </w:lvl>
    <w:lvl w:ilvl="5" w:tplc="AA6EDDE6">
      <w:numFmt w:val="bullet"/>
      <w:lvlText w:val="•"/>
      <w:lvlJc w:val="left"/>
      <w:pPr>
        <w:ind w:left="5173" w:hanging="164"/>
      </w:pPr>
      <w:rPr>
        <w:rFonts w:hint="default"/>
      </w:rPr>
    </w:lvl>
    <w:lvl w:ilvl="6" w:tplc="50F2BBBC">
      <w:numFmt w:val="bullet"/>
      <w:lvlText w:val="•"/>
      <w:lvlJc w:val="left"/>
      <w:pPr>
        <w:ind w:left="6027" w:hanging="164"/>
      </w:pPr>
      <w:rPr>
        <w:rFonts w:hint="default"/>
      </w:rPr>
    </w:lvl>
    <w:lvl w:ilvl="7" w:tplc="BE14BC8A">
      <w:numFmt w:val="bullet"/>
      <w:lvlText w:val="•"/>
      <w:lvlJc w:val="left"/>
      <w:pPr>
        <w:ind w:left="6882" w:hanging="164"/>
      </w:pPr>
      <w:rPr>
        <w:rFonts w:hint="default"/>
      </w:rPr>
    </w:lvl>
    <w:lvl w:ilvl="8" w:tplc="6AA00DBA">
      <w:numFmt w:val="bullet"/>
      <w:lvlText w:val="•"/>
      <w:lvlJc w:val="left"/>
      <w:pPr>
        <w:ind w:left="7737" w:hanging="164"/>
      </w:pPr>
      <w:rPr>
        <w:rFonts w:hint="default"/>
      </w:rPr>
    </w:lvl>
  </w:abstractNum>
  <w:abstractNum w:abstractNumId="1">
    <w:nsid w:val="6B98044E"/>
    <w:multiLevelType w:val="hybridMultilevel"/>
    <w:tmpl w:val="A3EE9210"/>
    <w:lvl w:ilvl="0" w:tplc="1AC8C74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D0EB5C">
      <w:numFmt w:val="bullet"/>
      <w:lvlText w:val="•"/>
      <w:lvlJc w:val="left"/>
      <w:pPr>
        <w:ind w:left="1420" w:hanging="348"/>
      </w:pPr>
      <w:rPr>
        <w:rFonts w:hint="default"/>
      </w:rPr>
    </w:lvl>
    <w:lvl w:ilvl="2" w:tplc="E41237E2">
      <w:numFmt w:val="bullet"/>
      <w:lvlText w:val="•"/>
      <w:lvlJc w:val="left"/>
      <w:pPr>
        <w:ind w:left="2021" w:hanging="348"/>
      </w:pPr>
      <w:rPr>
        <w:rFonts w:hint="default"/>
      </w:rPr>
    </w:lvl>
    <w:lvl w:ilvl="3" w:tplc="697AF09C">
      <w:numFmt w:val="bullet"/>
      <w:lvlText w:val="•"/>
      <w:lvlJc w:val="left"/>
      <w:pPr>
        <w:ind w:left="2622" w:hanging="348"/>
      </w:pPr>
      <w:rPr>
        <w:rFonts w:hint="default"/>
      </w:rPr>
    </w:lvl>
    <w:lvl w:ilvl="4" w:tplc="39E42E0E">
      <w:numFmt w:val="bullet"/>
      <w:lvlText w:val="•"/>
      <w:lvlJc w:val="left"/>
      <w:pPr>
        <w:ind w:left="3222" w:hanging="348"/>
      </w:pPr>
      <w:rPr>
        <w:rFonts w:hint="default"/>
      </w:rPr>
    </w:lvl>
    <w:lvl w:ilvl="5" w:tplc="40FA44B4">
      <w:numFmt w:val="bullet"/>
      <w:lvlText w:val="•"/>
      <w:lvlJc w:val="left"/>
      <w:pPr>
        <w:ind w:left="3823" w:hanging="348"/>
      </w:pPr>
      <w:rPr>
        <w:rFonts w:hint="default"/>
      </w:rPr>
    </w:lvl>
    <w:lvl w:ilvl="6" w:tplc="2DFA5E70">
      <w:numFmt w:val="bullet"/>
      <w:lvlText w:val="•"/>
      <w:lvlJc w:val="left"/>
      <w:pPr>
        <w:ind w:left="4424" w:hanging="348"/>
      </w:pPr>
      <w:rPr>
        <w:rFonts w:hint="default"/>
      </w:rPr>
    </w:lvl>
    <w:lvl w:ilvl="7" w:tplc="79BA7800">
      <w:numFmt w:val="bullet"/>
      <w:lvlText w:val="•"/>
      <w:lvlJc w:val="left"/>
      <w:pPr>
        <w:ind w:left="5024" w:hanging="348"/>
      </w:pPr>
      <w:rPr>
        <w:rFonts w:hint="default"/>
      </w:rPr>
    </w:lvl>
    <w:lvl w:ilvl="8" w:tplc="1B62CB66">
      <w:numFmt w:val="bullet"/>
      <w:lvlText w:val="•"/>
      <w:lvlJc w:val="left"/>
      <w:pPr>
        <w:ind w:left="5625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5D71"/>
    <w:rsid w:val="00235E53"/>
    <w:rsid w:val="004C5D71"/>
    <w:rsid w:val="00875003"/>
    <w:rsid w:val="00A3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C5D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5D7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1"/>
    <w:qFormat/>
    <w:rsid w:val="004C5D71"/>
    <w:pPr>
      <w:widowControl w:val="0"/>
      <w:autoSpaceDE w:val="0"/>
      <w:autoSpaceDN w:val="0"/>
      <w:spacing w:after="0" w:line="240" w:lineRule="auto"/>
      <w:ind w:left="890" w:hanging="163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C5D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4C5D71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4</cp:revision>
  <dcterms:created xsi:type="dcterms:W3CDTF">2019-02-18T20:38:00Z</dcterms:created>
  <dcterms:modified xsi:type="dcterms:W3CDTF">2019-02-19T05:33:00Z</dcterms:modified>
</cp:coreProperties>
</file>