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STREDNÁ ODBORNÁ ŠKOLA TECHNIKY, SLUŽIEB A OBCHODU-                              MŰSZAKI, SZOLGÁLTATÁSOK ÉS KERESKEDELMI SZAKKÖZÉPISKOLA,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SV. ŠTEFANA 81, ŠTÚROVO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IČO: 00 891 908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VÝZVA NA PREDLOŽENIE CENOVEJ PONUKY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NA ZÁKAZKU S NÍZKOU HODNOTOU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Zadávanie jednoduchých zákaziek nemá zákonom stanovené formálne pravidlá procesu, pri ich zadávaní sa postupuje podľa </w:t>
      </w:r>
      <w:r>
        <w:rPr>
          <w:b/>
          <w:bCs/>
        </w:rPr>
        <w:t xml:space="preserve">§ 117 zákona č. 343/2015 </w:t>
      </w:r>
      <w:r>
        <w:rPr/>
        <w:t>o verejnom obstarávaní a o zmene a doplnení niektorých zákonov, v znení neskorších predpisov (ďalej len ,,zákon o verejnom obstarávaní,,)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Vážená spoločnosť (uchádzač)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STREDNÁ ODBORNÁ ŠKOLA TECHNIKY, SLUŽIEB A OBCHODU-                              MŰSZAKI, SZOLGÁLTATÁSOK ÉS KERESKEDELMI SZAKKÖZÉPISKOLA,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SV. ŠTEFANA 81, ŠTÚROVO </w:t>
      </w:r>
    </w:p>
    <w:p>
      <w:pPr>
        <w:pStyle w:val="Normal"/>
        <w:jc w:val="center"/>
        <w:rPr/>
      </w:pPr>
      <w:r>
        <w:rPr/>
        <w:t>(ďalej len ,,verejný obstarávateľ,,) uskutočňuje výber dodávateľa/poskytovateľa (</w:t>
      </w:r>
      <w:r>
        <w:rPr>
          <w:b w:val="false"/>
          <w:bCs w:val="false"/>
          <w:u w:val="none"/>
        </w:rPr>
        <w:t>tovarov</w:t>
      </w:r>
      <w:r>
        <w:rPr/>
        <w:t>/stavebných prác/</w:t>
      </w:r>
      <w:r>
        <w:rPr>
          <w:b/>
          <w:bCs/>
        </w:rPr>
        <w:t>služieb</w:t>
      </w:r>
      <w:r>
        <w:rPr/>
        <w:t xml:space="preserve">) na predmet jednoduchej zákazky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>
          <w:b/>
        </w:rPr>
        <w:t xml:space="preserve">                                         „ </w:t>
      </w:r>
      <w:bookmarkStart w:id="0" w:name="__DdeLink__351_692083369"/>
      <w:r>
        <w:rPr>
          <w:b/>
        </w:rPr>
        <w:t>Zabezpečenie zákonných služieb v oblasti bezpečnosti a ochrany    zdravia pri práci a požiarnej ochrany</w:t>
      </w:r>
      <w:bookmarkEnd w:id="0"/>
      <w:r>
        <w:rPr>
          <w:b/>
        </w:rPr>
        <w:t xml:space="preserve"> “</w:t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Verejný obstarávateľ Vám zasiela výzvu na predloženie cenovej ponuky, v ktorej sú uvedené základné informácie týkajúce sa zadávania jednoduchej zákazky, požiadavky na predmet zákazky, jeho technickú a funkčnú špecifikáciu a požiadavky na zmluvné podmienky plnenia, určené podmienky účasti a požiadavky  na preukázanie finančného a ekonomického postavenia, technickej alebo odbornej spôsobilosti, požiadavky na obsah a formu predloženia cenovej ponuky.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</w:t>
      </w:r>
      <w:r>
        <w:rPr/>
        <w:t>Výzva na predloženie cenovej ponuky je forma postupu obstarávania predmetu jednoduchej zákazky vo verejnom obstarávaní v zmysle § 117 zákona o verejnom obstarávaní, z ktorého pre oslovené subjekty a predkladateľov cenovej ponuky nevyplývajú na základe predloženej cenovej ponuky žiadne nároky na uzatvorenie zmluvy na plnenie predmetu zákazky, ani na úhradu nákladov spojených s jej predložením.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Poskytnutá cenová ponuka bude slúžiť výlučne verejnému obstarávateľovi v procese výberu zmluvného partnera na plnenie predmetu jednoduchej zákazky.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Verejný obstarávateľ pri zadávaní zákazky, ktorá nemá zákonom stanovené formálne pravidlá procesu, pretože vzhľadom na finančný limit predpokladanej hodnoty zákazky </w:t>
      </w:r>
      <w:r>
        <w:rPr>
          <w:b/>
          <w:bCs/>
        </w:rPr>
        <w:t>predmetná zadávaná zákazka nie je nadlimitnou ani podlimitnou zákazkou</w:t>
      </w:r>
      <w:r>
        <w:rPr/>
        <w:t>, postupuje tak, aby vynaložené náklady na obstaranie predmetu zákazky a jeho zadanie boli primerané jeho kvalite a cene.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 </w:t>
      </w:r>
      <w:r>
        <w:rPr/>
        <w:t>Doručené cenové ponuky ani ich časti, verejný obstarávateľ nepoužije bez súhlasu osloveného subjektu/ predkladateľa.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Základné informácie:  </w:t>
      </w:r>
      <w:bookmarkStart w:id="1" w:name="__DdeLink__335_2802588861"/>
      <w:bookmarkEnd w:id="1"/>
      <w:r>
        <w:rPr>
          <w:b/>
        </w:rPr>
        <w:t>Zabezpečenie zákonných služieb v oblasti bezpečnosti a ochrany                                  zdravia pri práci a požiarnej ochrany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 xml:space="preserve">Predpokladaná hodnota zadávanej zákazky na predmet: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podľa zákona o verejnom obstarávaní </w:t>
      </w:r>
      <w:r>
        <w:rPr>
          <w:b/>
          <w:bCs/>
        </w:rPr>
        <w:t xml:space="preserve">nespĺňa podmienky nadlimitnej zákazky ani podlimitnej zákazky </w:t>
      </w:r>
      <w:r>
        <w:rPr/>
        <w:t>zákona o verejnom obstarávaní, preto verejný obstarávateľ pre obstaranie daného predmetu zákazky postupuje podľa § 117 zákona o verejnom obstarávaní.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Identifikácia verejného obstarávateľa: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4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863"/>
        <w:gridCol w:w="6781"/>
      </w:tblGrid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Názov verejného obstarávateľa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STREDNÁ ODBORNÁ ŠKOLA TECHNIKY, SLUŽIEB A OBCHODU-                              MŰSZAKI, SZOLGÁLTATÁSOK ÉS KERESKEDELMI SZAKKÖZÉPISKOLA,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SV. ŠTEFANA 81, ŠTÚROVO </w:t>
            </w:r>
          </w:p>
        </w:tc>
      </w:tr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Sídlo verejného obstarania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Sv. Štefana 81,  943 03 Štúrovo</w:t>
            </w:r>
          </w:p>
        </w:tc>
      </w:tr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Štatutárny orgán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Ing. František Valko- riaditeľ školy</w:t>
            </w:r>
          </w:p>
        </w:tc>
      </w:tr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Kontaktná osoba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Zoltán Jarábek – hospodár školy</w:t>
            </w:r>
          </w:p>
        </w:tc>
      </w:tr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IČO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00891908</w:t>
            </w:r>
          </w:p>
        </w:tc>
      </w:tr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DIČ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2021074187</w:t>
            </w:r>
          </w:p>
        </w:tc>
      </w:tr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Bankové spojenie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Štátna pokladnica</w:t>
            </w:r>
          </w:p>
        </w:tc>
      </w:tr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Číslo účtu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SK 72 8180 0000 0070 0030 8074</w:t>
            </w:r>
          </w:p>
        </w:tc>
      </w:tr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 xml:space="preserve">Telefón 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036 751 1368</w:t>
            </w:r>
          </w:p>
        </w:tc>
      </w:tr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e-mail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hyperlink r:id="rId2">
              <w:r>
                <w:rPr>
                  <w:rStyle w:val="Internetovodkaz"/>
                </w:rPr>
                <w:t>sossturovo@gmail.com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web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sos-sturovo.edupage.org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Názov zákazky – predmet zákazky</w:t>
      </w:r>
    </w:p>
    <w:p>
      <w:pPr>
        <w:pStyle w:val="Normal"/>
        <w:ind w:left="720" w:hanging="0"/>
        <w:rPr/>
      </w:pPr>
      <w:r>
        <w:rPr>
          <w:b/>
          <w:bCs/>
        </w:rPr>
        <w:t xml:space="preserve">pranie </w:t>
      </w:r>
    </w:p>
    <w:p>
      <w:pPr>
        <w:pStyle w:val="Normal"/>
        <w:ind w:left="720" w:hanging="0"/>
        <w:rPr/>
      </w:pPr>
      <w:r>
        <w:rPr>
          <w:b/>
          <w:bCs/>
        </w:rPr>
        <w:t>CPV:  71317210-8    Poradenské služby týkajúce sa ochrany zdravia a bezpečnosti pri</w:t>
      </w:r>
    </w:p>
    <w:p>
      <w:pPr>
        <w:pStyle w:val="Normal"/>
        <w:ind w:left="720" w:hanging="0"/>
        <w:rPr/>
      </w:pPr>
      <w:r>
        <w:rPr>
          <w:b/>
          <w:bCs/>
        </w:rPr>
        <w:t xml:space="preserve">                                   </w:t>
      </w:r>
      <w:r>
        <w:rPr>
          <w:b/>
          <w:bCs/>
        </w:rPr>
        <w:t>práci a požiarnej ochrany</w:t>
      </w:r>
    </w:p>
    <w:p>
      <w:pPr>
        <w:pStyle w:val="Normal"/>
        <w:ind w:left="720" w:hanging="0"/>
        <w:rPr/>
      </w:pPr>
      <w:r>
        <w:rPr>
          <w:b/>
          <w:bCs/>
        </w:rPr>
        <w:t xml:space="preserve">           </w:t>
      </w:r>
      <w:r>
        <w:rPr>
          <w:b/>
          <w:bCs/>
        </w:rPr>
        <w:t>71317200-5    Služby súvisiace s ochranou zdravia a bezpečnosťou pri práci</w:t>
      </w:r>
    </w:p>
    <w:p>
      <w:pPr>
        <w:pStyle w:val="Normal"/>
        <w:ind w:left="720" w:hanging="0"/>
        <w:rPr/>
      </w:pPr>
      <w:r>
        <w:rPr>
          <w:b/>
          <w:bCs/>
        </w:rPr>
        <w:t xml:space="preserve">           </w:t>
      </w:r>
      <w:r>
        <w:rPr>
          <w:b/>
          <w:bCs/>
        </w:rPr>
        <w:t>80511000-9     Školenie pracovníkov</w:t>
      </w:r>
    </w:p>
    <w:p>
      <w:pPr>
        <w:pStyle w:val="Normal"/>
        <w:ind w:left="720" w:hanging="0"/>
        <w:rPr/>
      </w:pPr>
      <w:r>
        <w:rPr>
          <w:b/>
          <w:bCs/>
        </w:rPr>
        <w:t xml:space="preserve">           </w:t>
      </w:r>
      <w:r>
        <w:rPr>
          <w:b/>
          <w:bCs/>
        </w:rPr>
        <w:t>60000000-8    Dopravné služby (bez prepravy odpadu)</w:t>
      </w:r>
    </w:p>
    <w:p>
      <w:pPr>
        <w:pStyle w:val="Normal"/>
        <w:ind w:left="720" w:hanging="0"/>
        <w:rPr/>
      </w:pPr>
      <w:r>
        <w:rPr>
          <w:b/>
          <w:bCs/>
        </w:rPr>
        <w:t xml:space="preserve">           </w:t>
      </w:r>
    </w:p>
    <w:p>
      <w:pPr>
        <w:pStyle w:val="Normal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             </w:t>
      </w:r>
      <w:r>
        <w:rPr>
          <w:b/>
          <w:bCs/>
        </w:rPr>
        <w:t xml:space="preserve">3. Druh zákazky:      </w:t>
      </w:r>
      <w:r>
        <w:rPr>
          <w:b/>
          <w:bCs/>
          <w:i/>
          <w:iCs/>
        </w:rPr>
        <w:t xml:space="preserve"> Služba 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numPr>
          <w:ilvl w:val="1"/>
          <w:numId w:val="5"/>
        </w:numPr>
        <w:rPr>
          <w:b/>
          <w:b/>
          <w:bCs/>
        </w:rPr>
      </w:pPr>
      <w:r>
        <w:rPr>
          <w:b/>
          <w:bCs/>
        </w:rPr>
        <w:t>Opis predmetu zákazky: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6"/>
        </w:numPr>
        <w:rPr/>
      </w:pPr>
      <w:r>
        <w:rPr/>
        <w:t>prijatím objednávky dodávateľ sa zaväzuje splniť dodávku podľa požiadavky odberateľa,</w:t>
      </w:r>
    </w:p>
    <w:p>
      <w:pPr>
        <w:pStyle w:val="Normal"/>
        <w:numPr>
          <w:ilvl w:val="1"/>
          <w:numId w:val="6"/>
        </w:numPr>
        <w:rPr/>
      </w:pPr>
      <w:r>
        <w:rPr/>
        <w:t xml:space="preserve">služba bude objednávaná telefonicky  alebo emailom </w:t>
      </w:r>
    </w:p>
    <w:p>
      <w:pPr>
        <w:pStyle w:val="Normal"/>
        <w:numPr>
          <w:ilvl w:val="1"/>
          <w:numId w:val="6"/>
        </w:numPr>
        <w:rPr/>
      </w:pPr>
      <w:r>
        <w:rPr/>
        <w:t>fakturácia  po dekádach alebo 1x mesačne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Elektronicky zaslať spolu s cenovou ponuky všetky tieto doklady: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Čestné prehlásenie o schopnosti zrealizovať predmet zákazky v požadovanom množstve.     Potvrdenie  Výpis zo živnostenského registra SR.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7"/>
        </w:numPr>
        <w:rPr>
          <w:b/>
          <w:b/>
          <w:bCs/>
        </w:rPr>
      </w:pPr>
      <w:r>
        <w:rPr>
          <w:b/>
          <w:bCs/>
        </w:rPr>
        <w:t>Spoločný slovník obstarávania</w:t>
      </w:r>
    </w:p>
    <w:p>
      <w:pPr>
        <w:pStyle w:val="Normal"/>
        <w:jc w:val="center"/>
        <w:rPr/>
      </w:pPr>
      <w:r>
        <w:rPr>
          <w:b/>
          <w:bCs/>
        </w:rPr>
        <w:t xml:space="preserve">                  </w:t>
      </w:r>
      <w:r>
        <w:rPr/>
        <w:t xml:space="preserve">Predmet zákazky: </w:t>
      </w:r>
      <w:r>
        <w:rPr>
          <w:b/>
        </w:rPr>
        <w:t>Zabezpečenie zákonných služieb v oblasti bezpečnosti a ochrany                                                 zdravia pri práci a požiarnej ochrany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Spoločný slovník obstarávania (CPV)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Hlavný slovník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Doplnkový slovník</w:t>
            </w:r>
          </w:p>
          <w:p>
            <w:pPr>
              <w:pStyle w:val="Obsahtabuky"/>
              <w:rPr/>
            </w:pPr>
            <w:r>
              <w:rPr/>
              <w:t>(ak sa uplatňuje)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Hlavný predmet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71317200-5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 xml:space="preserve"> </w:t>
            </w:r>
            <w:r>
              <w:rPr/>
              <w:t>BOZP a PO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Doplňujúce predmety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1"/>
          <w:numId w:val="8"/>
        </w:numPr>
        <w:rPr/>
      </w:pPr>
      <w:r>
        <w:rPr>
          <w:b/>
          <w:bCs/>
        </w:rPr>
        <w:t>Predpokladaná hodnota zákazky: 2486,- € bez DPH</w:t>
      </w:r>
    </w:p>
    <w:p>
      <w:pPr>
        <w:pStyle w:val="Normal"/>
        <w:numPr>
          <w:ilvl w:val="1"/>
          <w:numId w:val="8"/>
        </w:numPr>
        <w:rPr>
          <w:b/>
          <w:b/>
          <w:bCs/>
          <w:i/>
          <w:i/>
          <w:iCs/>
        </w:rPr>
      </w:pPr>
      <w:r>
        <w:rPr>
          <w:b/>
          <w:bCs/>
        </w:rPr>
        <w:t>Trvanie zákazky / lehota plnenia/ termín dodania:    48</w:t>
      </w:r>
      <w:r>
        <w:rPr>
          <w:b/>
          <w:bCs/>
          <w:i/>
          <w:iCs/>
        </w:rPr>
        <w:t xml:space="preserve"> mesiacov – 4 roky</w:t>
      </w:r>
    </w:p>
    <w:p>
      <w:pPr>
        <w:pStyle w:val="Normal"/>
        <w:rPr>
          <w:b/>
          <w:b/>
          <w:bCs/>
        </w:rPr>
      </w:pPr>
      <w:r>
        <w:rPr>
          <w:b/>
          <w:bCs/>
          <w:i/>
          <w:iCs/>
        </w:rPr>
        <w:t xml:space="preserve">             </w:t>
      </w:r>
      <w:r>
        <w:rPr>
          <w:b/>
          <w:bCs/>
          <w:i/>
          <w:iCs/>
        </w:rPr>
        <w:t xml:space="preserve">8.   </w:t>
      </w:r>
      <w:r>
        <w:rPr>
          <w:b/>
          <w:bCs/>
        </w:rPr>
        <w:t>Podmienky financovania predmetu zákazky/spôsob financovania</w:t>
      </w:r>
    </w:p>
    <w:p>
      <w:pPr>
        <w:pStyle w:val="Normal"/>
        <w:rPr/>
      </w:pPr>
      <w:r>
        <w:rPr>
          <w:b/>
          <w:bCs/>
        </w:rPr>
        <w:t xml:space="preserve">                 </w:t>
      </w:r>
      <w:r>
        <w:rPr/>
        <w:t xml:space="preserve">  </w:t>
      </w:r>
      <w:r>
        <w:rPr/>
        <w:t xml:space="preserve">Predmet bude financovaný z vlastných prostriedkov </w:t>
      </w:r>
    </w:p>
    <w:p>
      <w:pPr>
        <w:pStyle w:val="Normal"/>
        <w:rPr/>
      </w:pPr>
      <w:r>
        <w:rPr/>
        <w:t xml:space="preserve">              </w:t>
      </w:r>
      <w:r>
        <w:rPr>
          <w:b/>
          <w:bCs/>
        </w:rPr>
        <w:t>9.</w:t>
      </w:r>
      <w:r>
        <w:rPr/>
        <w:t xml:space="preserve">  Kritéria na vyhodnotenie ponúk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</w:t>
      </w:r>
      <w:r>
        <w:rPr>
          <w:b/>
          <w:bCs/>
          <w:i/>
          <w:iCs/>
        </w:rPr>
        <w:t xml:space="preserve">Najnižšia cena za celý predmet zákazky,       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numPr>
          <w:ilvl w:val="1"/>
          <w:numId w:val="9"/>
        </w:numPr>
        <w:rPr/>
      </w:pPr>
      <w:r>
        <w:rPr>
          <w:b/>
          <w:bCs/>
        </w:rPr>
        <w:t xml:space="preserve">Lehota na predkladanie cenovej ponuky:         </w:t>
      </w:r>
      <w:r>
        <w:rPr>
          <w:b/>
          <w:bCs/>
          <w:i/>
          <w:iCs/>
          <w:sz w:val="32"/>
          <w:szCs w:val="32"/>
        </w:rPr>
        <w:t>Do  25. 1. 2019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1"/>
          <w:numId w:val="9"/>
        </w:numPr>
        <w:rPr>
          <w:b/>
          <w:b/>
          <w:bCs/>
        </w:rPr>
      </w:pPr>
      <w:r>
        <w:rPr>
          <w:b/>
          <w:bCs/>
        </w:rPr>
        <w:t>Miesto na predkladanie cenovej ponuky</w:t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>STREDNÁ ODBORNÁ ŠKOLA TECHNIKY, SLUŽIEB A OBCHODU-                              MŰSZAKI, SZOLGÁLTATÁSOK ÉS KERESKEDELMI SZAKKÖZÉPISKOLA,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SV. ŠTEFANA 81, ŠTÚROVO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             </w:t>
      </w:r>
      <w:r>
        <w:rPr>
          <w:b/>
          <w:bCs/>
        </w:rPr>
        <w:t>12. Forma predkladania ponúk</w:t>
      </w:r>
    </w:p>
    <w:p>
      <w:pPr>
        <w:pStyle w:val="Normal"/>
        <w:rPr/>
      </w:pPr>
      <w:r>
        <w:rPr/>
        <w:t xml:space="preserve">                </w:t>
      </w:r>
      <w:r>
        <w:rPr/>
        <w:t xml:space="preserve">Ponuky sa predkladajú </w:t>
      </w:r>
      <w:r>
        <w:rPr>
          <w:b/>
          <w:bCs/>
        </w:rPr>
        <w:t>elektronicky</w:t>
      </w:r>
      <w:r>
        <w:rPr/>
        <w:t xml:space="preserve"> na email: sossturovo@gmail.com</w:t>
      </w:r>
    </w:p>
    <w:p>
      <w:pPr>
        <w:pStyle w:val="Normal"/>
        <w:rPr>
          <w:b/>
          <w:b/>
          <w:bCs/>
        </w:rPr>
      </w:pPr>
      <w:r>
        <w:rPr/>
        <w:t xml:space="preserve">                </w:t>
      </w:r>
      <w:r>
        <w:rPr/>
        <w:t xml:space="preserve">Ponuky </w:t>
      </w:r>
      <w:r>
        <w:rPr>
          <w:b/>
          <w:bCs/>
        </w:rPr>
        <w:t>je možné predložiť aj v listinnej forme</w:t>
      </w:r>
      <w:r>
        <w:rPr/>
        <w:t xml:space="preserve"> (podľa bodu 13)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13. Obsah a forma predkladania cenovej ponuky</w:t>
      </w:r>
    </w:p>
    <w:p>
      <w:pPr>
        <w:pStyle w:val="Normal"/>
        <w:rPr/>
      </w:pPr>
      <w:r>
        <w:rPr>
          <w:b/>
          <w:bCs/>
        </w:rPr>
        <w:t xml:space="preserve">                   </w:t>
      </w:r>
      <w:r>
        <w:rPr/>
        <w:t xml:space="preserve">Ponuka sa predkladá v uzatvorenej, neprehľadnej obálke v lehote určenej </w:t>
      </w:r>
      <w:r>
        <w:rPr>
          <w:i/>
          <w:iCs/>
        </w:rPr>
        <w:t>v bode 10</w:t>
      </w:r>
      <w:r>
        <w:rPr/>
        <w:t xml:space="preserve"> a na miesto určené </w:t>
      </w:r>
      <w:r>
        <w:rPr>
          <w:i/>
          <w:iCs/>
        </w:rPr>
        <w:t>v bode 11</w:t>
      </w:r>
      <w:r>
        <w:rPr/>
        <w:t>.</w:t>
      </w:r>
    </w:p>
    <w:p>
      <w:pPr>
        <w:pStyle w:val="Normal"/>
        <w:rPr/>
      </w:pPr>
      <w:r>
        <w:rPr/>
        <w:t xml:space="preserve">                   </w:t>
      </w:r>
      <w:r>
        <w:rPr>
          <w:u w:val="single"/>
        </w:rPr>
        <w:t>Obálka ponuky musí obsahovať:</w:t>
      </w:r>
    </w:p>
    <w:p>
      <w:pPr>
        <w:pStyle w:val="Normal"/>
        <w:numPr>
          <w:ilvl w:val="5"/>
          <w:numId w:val="10"/>
        </w:numPr>
        <w:rPr/>
      </w:pPr>
      <w:r>
        <w:rPr/>
        <w:t>Obchodné meno/názov uchádzača</w:t>
      </w:r>
    </w:p>
    <w:p>
      <w:pPr>
        <w:pStyle w:val="Normal"/>
        <w:numPr>
          <w:ilvl w:val="5"/>
          <w:numId w:val="10"/>
        </w:numPr>
        <w:rPr/>
      </w:pPr>
      <w:r>
        <w:rPr/>
        <w:t>Sídlo/adresa podnikania</w:t>
      </w:r>
    </w:p>
    <w:p>
      <w:pPr>
        <w:pStyle w:val="Normal"/>
        <w:numPr>
          <w:ilvl w:val="5"/>
          <w:numId w:val="10"/>
        </w:numPr>
        <w:rPr/>
      </w:pPr>
      <w:r>
        <w:rPr/>
        <w:t xml:space="preserve">Heslo súťaže: </w:t>
      </w:r>
      <w:r>
        <w:rPr>
          <w:b/>
          <w:bCs/>
          <w:i/>
          <w:iCs/>
        </w:rPr>
        <w:t>BOZP a PO</w:t>
      </w:r>
    </w:p>
    <w:p>
      <w:pPr>
        <w:pStyle w:val="Normal"/>
        <w:numPr>
          <w:ilvl w:val="5"/>
          <w:numId w:val="10"/>
        </w:numPr>
        <w:rPr>
          <w:b/>
          <w:b/>
          <w:bCs/>
        </w:rPr>
      </w:pPr>
      <w:r>
        <w:rPr/>
        <w:t xml:space="preserve">Označenie </w:t>
      </w:r>
      <w:r>
        <w:rPr>
          <w:b/>
          <w:bCs/>
          <w:i/>
          <w:iCs/>
        </w:rPr>
        <w:t>,,Súťaž – neotvárať,,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14.   Obsah cenovej ponuky</w:t>
      </w:r>
    </w:p>
    <w:p>
      <w:pPr>
        <w:pStyle w:val="Normal"/>
        <w:rPr/>
      </w:pPr>
      <w:r>
        <w:rPr/>
        <w:t xml:space="preserve">                 </w:t>
      </w:r>
      <w:r>
        <w:rPr/>
        <w:t>Ponuka musí obsahovať:</w:t>
      </w:r>
    </w:p>
    <w:p>
      <w:pPr>
        <w:pStyle w:val="Normal"/>
        <w:numPr>
          <w:ilvl w:val="5"/>
          <w:numId w:val="11"/>
        </w:numPr>
        <w:rPr/>
      </w:pPr>
      <w:r>
        <w:rPr/>
        <w:t>Návrh na plnenie kritérií podľa prílohy č. 1 tejto výzvy</w:t>
      </w:r>
    </w:p>
    <w:p>
      <w:pPr>
        <w:pStyle w:val="Normal"/>
        <w:numPr>
          <w:ilvl w:val="5"/>
          <w:numId w:val="11"/>
        </w:numPr>
        <w:rPr/>
      </w:pPr>
      <w:r>
        <w:rPr/>
        <w:t>vyplnenú prílohu č. 2 – podrobnú cenovú ponuku tejto výzvy</w:t>
      </w:r>
    </w:p>
    <w:p>
      <w:pPr>
        <w:pStyle w:val="Normal"/>
        <w:rPr/>
      </w:pPr>
      <w:r>
        <w:rPr/>
        <w:t xml:space="preserve">                                      </w:t>
      </w:r>
    </w:p>
    <w:p>
      <w:pPr>
        <w:pStyle w:val="Normal"/>
        <w:rPr/>
      </w:pPr>
      <w:r>
        <w:rPr>
          <w:b/>
          <w:bCs/>
        </w:rPr>
        <w:t>15. Výsledok zadávania jednoduchej zákazky</w:t>
      </w:r>
    </w:p>
    <w:p>
      <w:pPr>
        <w:pStyle w:val="Normal"/>
        <w:rPr/>
      </w:pPr>
      <w:r>
        <w:rPr/>
        <w:t xml:space="preserve">                </w:t>
      </w:r>
      <w:r>
        <w:rPr>
          <w:i/>
          <w:iCs/>
        </w:rPr>
        <w:t>Uzavretie zmluvy na obdobie 48 mesiacov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                   </w:t>
      </w:r>
    </w:p>
    <w:p>
      <w:pPr>
        <w:pStyle w:val="Normal"/>
        <w:ind w:left="-1418" w:hanging="0"/>
        <w:rPr/>
      </w:pPr>
      <w:r>
        <w:rPr>
          <w:b/>
          <w:bCs/>
          <w:i/>
          <w:iCs/>
        </w:rPr>
        <w:t xml:space="preserve">                        </w:t>
      </w:r>
      <w:r>
        <w:rPr>
          <w:b/>
          <w:bCs/>
        </w:rPr>
        <w:t>16</w:t>
      </w:r>
      <w:r>
        <w:rPr/>
        <w:t xml:space="preserve">. </w:t>
      </w:r>
      <w:r>
        <w:rPr>
          <w:b/>
          <w:bCs/>
        </w:rPr>
        <w:t>Jazyk určený pre komunikáciu a predkladanie cenovej ponuky</w:t>
      </w:r>
    </w:p>
    <w:p>
      <w:pPr>
        <w:pStyle w:val="Normal"/>
        <w:rPr>
          <w:b/>
          <w:b/>
          <w:bCs/>
        </w:rPr>
      </w:pPr>
      <w:r>
        <w:rPr/>
        <w:t xml:space="preserve">                </w:t>
      </w:r>
      <w:r>
        <w:rPr/>
        <w:t>Pre komunikáciu a cenovú ponuku je určený – slovenský jazyk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17.  Zákazka sa týka projektu/programu financovaného z fondov EÚ</w:t>
      </w:r>
    </w:p>
    <w:p>
      <w:pPr>
        <w:pStyle w:val="Normal"/>
        <w:rPr/>
      </w:pPr>
      <w:r>
        <w:rPr/>
        <w:t xml:space="preserve">                </w:t>
      </w:r>
      <w:r>
        <w:rPr/>
        <w:t>Nie</w:t>
      </w:r>
    </w:p>
    <w:p>
      <w:pPr>
        <w:pStyle w:val="Normal"/>
        <w:rPr>
          <w:b/>
          <w:b/>
          <w:bCs/>
        </w:rPr>
      </w:pPr>
      <w:r>
        <w:rPr/>
        <w:t xml:space="preserve">                    </w:t>
      </w:r>
    </w:p>
    <w:p>
      <w:pPr>
        <w:pStyle w:val="Normal"/>
        <w:rPr/>
      </w:pPr>
      <w:r>
        <w:rPr>
          <w:b/>
          <w:bCs/>
        </w:rPr>
        <w:t>18. Dátum odoslania výzvy na predkladanie cenovej ponuky: 10 . 01. 2019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               </w:t>
      </w:r>
      <w:r>
        <w:rPr/>
        <w:t>Za poskytnutú cenovú ponuku Vám vopred ďakujeme.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</w:t>
      </w:r>
      <w:r>
        <w:rPr/>
        <w:t>V Štúrove dňa 10 .1.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…</w:t>
      </w:r>
      <w:r>
        <w:rPr/>
        <w:t>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  <w:r>
        <w:rPr/>
        <w:t>Ing. František Valko- riaditeľ školy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</w:t>
      </w:r>
      <w:r>
        <w:rPr>
          <w:b/>
          <w:bCs/>
          <w:u w:val="single"/>
        </w:rPr>
        <w:t>Prílohy: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 xml:space="preserve">           </w:t>
      </w:r>
      <w:r>
        <w:rPr/>
        <w:t>Príloha č. 1 – Návrh na plnenie kritéria/í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  <w:t xml:space="preserve">           </w:t>
      </w:r>
      <w:r>
        <w:rPr/>
        <w:t>Príloha č. 2 – Detailná cenová ponuka – na vyplnenie</w:t>
      </w:r>
    </w:p>
    <w:p>
      <w:pPr>
        <w:pStyle w:val="Normal"/>
        <w:widowControl/>
        <w:ind w:left="0" w:right="0" w:hanging="0"/>
        <w:jc w:val="right"/>
        <w:rPr>
          <w:rFonts w:ascii="Merriweather Sans;Helvetica" w:hAnsi="Merriweather Sans;Helvetica" w:cs="Merriweather Sans;Helvetic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Merriweather Sans;Helvetica" w:ascii="Merriweather Sans;Helvetica" w:hAnsi="Merriweather Sans;Helvetica"/>
          <w:b/>
          <w:bCs/>
          <w:i w:val="false"/>
          <w:caps w:val="false"/>
          <w:smallCaps w:val="false"/>
          <w:color w:val="333333"/>
          <w:spacing w:val="0"/>
          <w:sz w:val="21"/>
        </w:rPr>
        <w:t xml:space="preserve">    </w:t>
      </w:r>
      <w:r>
        <w:rPr>
          <w:rFonts w:cs="Merriweather Sans;Helvetica" w:ascii="Merriweather Sans;Helvetica" w:hAnsi="Merriweather Sans;Helvetica"/>
          <w:b/>
          <w:bCs/>
          <w:i/>
          <w:iCs/>
          <w:caps w:val="false"/>
          <w:smallCaps w:val="false"/>
          <w:color w:val="333333"/>
          <w:spacing w:val="0"/>
          <w:sz w:val="21"/>
        </w:rPr>
        <w:t>príloha č. 1</w:t>
      </w:r>
      <w:r>
        <w:rPr>
          <w:rFonts w:cs="Merriweather Sans;Helvetica" w:ascii="Merriweather Sans;Helvetica" w:hAnsi="Merriweather Sans;Helvetica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</w:t>
      </w:r>
    </w:p>
    <w:p>
      <w:pPr>
        <w:pStyle w:val="Normal"/>
        <w:widowControl/>
        <w:ind w:left="0" w:right="0" w:hanging="0"/>
        <w:rPr>
          <w:rFonts w:ascii="Merriweather Sans;Helvetica" w:hAnsi="Merriweather Sans;Helvetica" w:cs="Merriweather Sans;Helvetic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Merriweather Sans;Helvetica" w:ascii="Merriweather Sans;Helvetica" w:hAnsi="Merriweather Sans;Helvetica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Normal"/>
        <w:widowControl/>
        <w:ind w:left="0" w:right="0" w:hanging="0"/>
        <w:rPr>
          <w:rFonts w:ascii="Merriweather Sans;Helvetica" w:hAnsi="Merriweather Sans;Helvetica" w:cs="Merriweather Sans;Helvetica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Merriweather Sans;Helvetica" w:ascii="Merriweather Sans;Helvetica" w:hAnsi="Merriweather Sans;Helvetica"/>
          <w:b w:val="false"/>
          <w:i w:val="false"/>
          <w:caps w:val="false"/>
          <w:smallCaps w:val="false"/>
          <w:color w:val="333333"/>
          <w:spacing w:val="0"/>
          <w:sz w:val="21"/>
        </w:rPr>
        <w:br/>
      </w:r>
    </w:p>
    <w:p>
      <w:pPr>
        <w:pStyle w:val="Telotextu"/>
        <w:widowControl/>
        <w:spacing w:before="0" w:after="0"/>
        <w:ind w:left="0" w:right="0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7559040" cy="250190"/>
                <wp:effectExtent l="0" t="0" r="0" b="0"/>
                <wp:wrapSquare wrapText="largest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560" cy="24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lotextu"/>
                              <w:spacing w:before="0" w:after="0"/>
                              <w:ind w:left="0" w:right="0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Zabezpečenie zákonných služieb v oblasti </w:t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fillcolor="white" stroked="f" style="position:absolute;margin-left:0pt;margin-top:0.05pt;width:595.1pt;height:19.6pt;mso-position-horizontal:lef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elotextu"/>
                        <w:spacing w:before="0" w:after="0"/>
                        <w:ind w:left="0" w:right="0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Zabezpečenie zákonných služieb v oblasti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6"/>
          <w:szCs w:val="36"/>
        </w:rPr>
        <w:t>bezpečnosti a ochrany zdravia pri práci a požiarnej ochrany</w:t>
      </w:r>
    </w:p>
    <w:p>
      <w:pPr>
        <w:pStyle w:val="Normal"/>
        <w:widowControl/>
        <w:spacing w:before="0" w:after="375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7559040" cy="173990"/>
                <wp:effectExtent l="0" t="0" r="0" b="0"/>
                <wp:wrapSquare wrapText="largest"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56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lotextu"/>
                              <w:spacing w:before="0" w:after="0"/>
                              <w:ind w:left="0" w:right="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OF-86202</w:t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fillcolor="white" stroked="f" style="position:absolute;margin-left:0pt;margin-top:0.05pt;width:595.1pt;height:13.6pt;mso-position-horizontal:lef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elotextu"/>
                        <w:spacing w:before="0" w:after="0"/>
                        <w:ind w:left="0" w:right="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OF-86202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7559040" cy="173990"/>
                <wp:effectExtent l="0" t="0" r="0" b="0"/>
                <wp:wrapSquare wrapText="largest"/>
                <wp:docPr id="5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56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lotextu"/>
                              <w:spacing w:before="0" w:after="0"/>
                              <w:ind w:left="0" w:right="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3" fillcolor="white" stroked="f" style="position:absolute;margin-left:0pt;margin-top:0.05pt;width:595.1pt;height:13.6pt;mso-position-horizontal:lef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elotextu"/>
                        <w:spacing w:before="0" w:after="0"/>
                        <w:ind w:left="0" w:right="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rPr/>
      </w:pPr>
      <w:bookmarkStart w:id="2" w:name="polozky"/>
      <w:bookmarkStart w:id="3" w:name="polozky"/>
      <w:bookmarkEnd w:id="3"/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7559040" cy="1029335"/>
                <wp:effectExtent l="0" t="0" r="0" b="0"/>
                <wp:wrapSquare wrapText="largest"/>
                <wp:docPr id="7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56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lotextu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7" w:leader="none"/>
                              </w:tabs>
                              <w:spacing w:before="0" w:after="0"/>
                              <w:ind w:left="707" w:right="0" w:hanging="283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71317210-8 - Poradenské služby týkajúce sa ochrany zdravia a bezpečnosti pri práci</w:t>
                            </w:r>
                          </w:p>
                          <w:p>
                            <w:pPr>
                              <w:pStyle w:val="Telotextu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7" w:leader="none"/>
                              </w:tabs>
                              <w:spacing w:before="0" w:after="0"/>
                              <w:ind w:left="707" w:right="0" w:hanging="283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80511000-9 - Školenie pracovníkov</w:t>
                            </w:r>
                          </w:p>
                          <w:p>
                            <w:pPr>
                              <w:pStyle w:val="Telotextu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7" w:leader="none"/>
                              </w:tabs>
                              <w:spacing w:before="0" w:after="0"/>
                              <w:ind w:left="707" w:right="0" w:hanging="283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60000000-8 - Dopravné služby (bez prepravy odpadu)</w:t>
                            </w:r>
                          </w:p>
                          <w:p>
                            <w:pPr>
                              <w:pStyle w:val="Telotextu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7" w:leader="none"/>
                              </w:tabs>
                              <w:spacing w:before="0" w:after="0"/>
                              <w:ind w:left="707" w:right="0" w:hanging="28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71317200-5 - Služby súvisiace s ochranou zdravia a bezpečnosťou pri práci</w:t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4" fillcolor="white" stroked="f" style="position:absolute;margin-left:0pt;margin-top:0.05pt;width:595.1pt;height:80.95pt;mso-position-horizontal:lef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elotextu"/>
                        <w:numPr>
                          <w:ilvl w:val="0"/>
                          <w:numId w:val="12"/>
                        </w:numPr>
                        <w:tabs>
                          <w:tab w:val="left" w:pos="707" w:leader="none"/>
                        </w:tabs>
                        <w:spacing w:before="0" w:after="0"/>
                        <w:ind w:left="707" w:right="0" w:hanging="283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71317210-8 - Poradenské služby týkajúce sa ochrany zdravia a bezpečnosti pri práci</w:t>
                      </w:r>
                    </w:p>
                    <w:p>
                      <w:pPr>
                        <w:pStyle w:val="Telotextu"/>
                        <w:numPr>
                          <w:ilvl w:val="0"/>
                          <w:numId w:val="12"/>
                        </w:numPr>
                        <w:tabs>
                          <w:tab w:val="left" w:pos="707" w:leader="none"/>
                        </w:tabs>
                        <w:spacing w:before="0" w:after="0"/>
                        <w:ind w:left="707" w:right="0" w:hanging="283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80511000-9 - Školenie pracovníkov</w:t>
                      </w:r>
                    </w:p>
                    <w:p>
                      <w:pPr>
                        <w:pStyle w:val="Telotextu"/>
                        <w:numPr>
                          <w:ilvl w:val="0"/>
                          <w:numId w:val="12"/>
                        </w:numPr>
                        <w:tabs>
                          <w:tab w:val="left" w:pos="707" w:leader="none"/>
                        </w:tabs>
                        <w:spacing w:before="0" w:after="0"/>
                        <w:ind w:left="707" w:right="0" w:hanging="283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60000000-8 - Dopravné služby (bez prepravy odpadu)</w:t>
                      </w:r>
                    </w:p>
                    <w:p>
                      <w:pPr>
                        <w:pStyle w:val="Telotextu"/>
                        <w:numPr>
                          <w:ilvl w:val="0"/>
                          <w:numId w:val="12"/>
                        </w:numPr>
                        <w:tabs>
                          <w:tab w:val="left" w:pos="707" w:leader="none"/>
                        </w:tabs>
                        <w:spacing w:before="0" w:after="0"/>
                        <w:ind w:left="707" w:right="0" w:hanging="283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71317200-5 - Služby súvisiace s ochranou zdravia a bezpečnosťou pri práci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blHeader w:val="true"/>
        </w:trPr>
        <w:tc>
          <w:tcPr>
            <w:tcW w:w="9638" w:type="dxa"/>
            <w:tcBorders/>
            <w:shd w:fill="F9F9F9" w:val="clear"/>
            <w:vAlign w:val="center"/>
          </w:tcPr>
          <w:p>
            <w:pPr>
              <w:pStyle w:val="Nadpistabuky"/>
              <w:snapToGrid w:val="false"/>
              <w:spacing w:lineRule="auto" w:line="33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tcBorders/>
            <w:shd w:fill="F9F9F9" w:val="clear"/>
            <w:vAlign w:val="center"/>
          </w:tcPr>
          <w:p>
            <w:pPr>
              <w:pStyle w:val="Obsahtabuky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tbl>
      <w:tblPr>
        <w:tblW w:w="9968" w:type="dxa"/>
        <w:jc w:val="left"/>
        <w:tblInd w:w="-32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661"/>
        <w:gridCol w:w="1661"/>
        <w:gridCol w:w="1662"/>
        <w:gridCol w:w="1661"/>
        <w:gridCol w:w="1661"/>
      </w:tblGrid>
      <w:tr>
        <w:trPr>
          <w:tblHeader w:val="true"/>
        </w:trPr>
        <w:tc>
          <w:tcPr>
            <w:tcW w:w="9967" w:type="dxa"/>
            <w:gridSpan w:val="6"/>
            <w:tcBorders/>
            <w:shd w:fill="auto" w:val="clear"/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967" w:type="dxa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>
                <w:b/>
                <w:b/>
                <w:bCs/>
              </w:rPr>
            </w:pPr>
            <w:r>
              <w:rPr>
                <w:b/>
                <w:bCs/>
              </w:rPr>
              <w:t>Komplexné zabezpečovanie odborných prác, poradenskej činnosti, výkon výchovy a vzdelávania v oblasti bezpečnosti a ochrany zdravia pri práci (ďalej ako "BOZP") v súlade so zákonom č. 124/2006 Z. z. o bezpečnosti a ochrane zdravia pri práci a o zmene a doplnení niektorých zákonov v znení neskorších predpisov pre osoby objednávateľa v sídle objednávateľa.</w:t>
            </w:r>
          </w:p>
        </w:tc>
      </w:tr>
      <w:tr>
        <w:trPr/>
        <w:tc>
          <w:tcPr>
            <w:tcW w:w="1661" w:type="dxa"/>
            <w:tcBorders/>
            <w:shd w:fill="auto" w:val="clear"/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61" w:type="dxa"/>
            <w:tcBorders/>
            <w:shd w:fill="auto" w:val="clear"/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61" w:type="dxa"/>
            <w:tcBorders/>
            <w:shd w:fill="auto" w:val="clear"/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61" w:type="dxa"/>
            <w:tcBorders/>
            <w:shd w:fill="auto" w:val="clear"/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61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left w:w="-2" w:type="dxa"/>
            </w:tcMar>
            <w:vAlign w:val="center"/>
          </w:tcPr>
          <w:p>
            <w:pPr>
              <w:pStyle w:val="Nadpistabuky"/>
              <w:snapToGrid w:val="false"/>
              <w:spacing w:lineRule="auto" w:line="336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Komplexný výkonu služieb technika požiarnej ochrany v súlade so zákonom č. 314/2001 Z. z. o ochrane pred požiarmi, školenia požiarnej ochrany, kontroly, opravy hasiacich prístrojov a hydrantov</w:t>
            </w:r>
          </w:p>
        </w:tc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left w:w="-2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left w:w="-2" w:type="dxa"/>
            </w:tcMar>
            <w:vAlign w:val="center"/>
          </w:tcPr>
          <w:p>
            <w:pPr>
              <w:pStyle w:val="Obsahtabuky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left w:w="-2" w:type="dxa"/>
            </w:tcMar>
            <w:vAlign w:val="center"/>
          </w:tcPr>
          <w:p>
            <w:pPr>
              <w:pStyle w:val="Obsahtabuky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left w:w="-2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61" w:type="dxa"/>
            <w:tcBorders>
              <w:left w:val="single" w:sz="2" w:space="0" w:color="D3D3D3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</w:tc>
      </w:tr>
      <w:tr>
        <w:trPr/>
        <w:tc>
          <w:tcPr>
            <w:tcW w:w="1661" w:type="dxa"/>
            <w:tcBorders/>
            <w:shd w:fill="auto" w:val="clear"/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06" w:type="dxa"/>
            <w:gridSpan w:val="5"/>
            <w:tcBorders/>
            <w:shd w:fill="auto" w:val="clear"/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Kontrolovať dodržiavanie platných právnych predpisov vyplývajúcich zo zákona č.124/2006 Z.z. o BOZP v znení neskorších predpisov, sústavne, minimálne 2x mesačne na pracoviskách objednávateľa;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Zisťovať nebezpečenstvá a ohrozenia, posudzuje riziká na pracoviskách, ktoré spracuje do písomného dokumentu.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Navrhovať pravidlá o bezpečnosti a ochrane zdravia pri práci , systém školenia o BOZP.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Kontrolovať vykonávanie lekárskych preventívnych prehliadok u zamestnancov podľa osobitných predpisov.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Viesť registráciu a evidenciu pracovných úrazov a chorôb z povolania a zúčastňovať sa šetrenia príčin vzniku pracovných úrazov.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Pripravovať podklady pre odškodnenie pracovných úrazov a chorôb z povolania zamestnancov.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Písomne vypracovať koncepciu politiky bezpečnosti a ochrany zdravia pri práci, ktorá obsahuje zámery zamestnávateľa v oblasti BOZP.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Viesť dokumentáciu BOZP v zmysle platných predpisov.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Vykonať školenie BOZP vedúcich a overiť ich vedomosti. Objednávateľ zabezpečí priestory potrebné k preškoleniu.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Vykonať školenie BOZP zamestnancov a overiť ich vedomosti. Objednávateľ zabezpečí priestory potrebné k preškoleniu.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Vykonávať školenie BOZP novoprijatých zamestnancov a praktikantov pred nástupom na pracovisko. Objednávateľ zabezpečí priestory potrebné ku školeniu.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trvanie zmluvného stavu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Kontrolovať či zamestnanec nie je v pracovnom čase pod vplyvom alkoholu, omamných látok a či dodržiava určený zákaz fajčenia v priestoroch zamestnávateľa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Vykonávať min. raz za rok pravidelnú previerku BOZP v spolupráci s pracovnou zdravotnou službou na všetkých pracoviskách a zariadeniach zamestnávateľa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Navrhovať opatrenia na odstránenie zistených závad z hľadiska BOZP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Informovať štatutárneho zástupcu alebo ním povereného zástupcu o stave BOZP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Vypracovávať správy o stave BOZP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Vykonávať ďalšie úlohy zamestnávateľa uvedené v zákone o BOZP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Zabezpečovať spoluprácu a zúčastňovať sa jednaní s orgánmi štátneho odborného dozoru / RÚVZ, Inšpekcia práce/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Vypracovanie a aktualizácia interných riadiacich aktov v súlade s platnými právnymi predpismi v oblasti BOZP.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počas trvania zmluvného vzťahu</w:t>
            </w:r>
          </w:p>
        </w:tc>
      </w:tr>
      <w:tr>
        <w:trPr/>
        <w:tc>
          <w:tcPr>
            <w:tcW w:w="166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insideH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Sledovanie a upozorňovanie na zmeny v legislatíve v oblasti BOZP a aktualizácia príslušných interných predpisov.</w:t>
            </w:r>
          </w:p>
        </w:tc>
        <w:tc>
          <w:tcPr>
            <w:tcW w:w="8306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widowControl/>
              <w:spacing w:lineRule="auto" w:line="336"/>
              <w:rPr/>
            </w:pPr>
            <w:r>
              <w:rPr/>
              <w:t>počas trvania zmluvného vzťahu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adpis5"/>
        <w:widowControl/>
        <w:numPr>
          <w:ilvl w:val="4"/>
          <w:numId w:val="2"/>
        </w:numPr>
        <w:spacing w:before="450" w:after="150"/>
        <w:ind w:left="0" w:right="0" w:hanging="0"/>
        <w:rPr/>
      </w:pPr>
      <w:bookmarkStart w:id="4" w:name="osobitne-poziadavky"/>
      <w:bookmarkStart w:id="5" w:name="osobitne-poziadavky"/>
      <w:bookmarkEnd w:id="5"/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7559040" cy="173990"/>
                <wp:effectExtent l="0" t="0" r="0" b="0"/>
                <wp:wrapSquare wrapText="largest"/>
                <wp:docPr id="9" name="Rámec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56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lotextu"/>
                              <w:spacing w:before="0" w:after="0"/>
                              <w:ind w:left="0" w:right="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5" fillcolor="white" stroked="f" style="position:absolute;margin-left:0pt;margin-top:0.05pt;width:595.1pt;height:13.6pt;mso-position-horizontal:lef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elotextu"/>
                        <w:spacing w:before="0" w:after="0"/>
                        <w:ind w:left="0" w:right="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pacing w:before="450" w:after="150"/>
        <w:ind w:left="0" w:right="0" w:hanging="0"/>
        <w:rPr/>
      </w:pPr>
      <w:r>
        <w:rPr/>
      </w:r>
    </w:p>
    <w:p>
      <w:pPr>
        <w:pStyle w:val="Obsahtabuky"/>
        <w:widowControl/>
        <w:spacing w:lineRule="auto" w:line="336" w:before="450" w:after="150"/>
        <w:ind w:left="0" w:right="0" w:hanging="0"/>
        <w:rPr/>
      </w:pPr>
      <w:r>
        <w:rPr/>
        <w:t>Výkon kontrol, tlakových skúšok, opráv, inštalácie prenosných hasiacich prístrojov, kontroly a opravy požiarnych hydrantov    -                     počas trvania zmluvného vzťahu</w:t>
      </w:r>
    </w:p>
    <w:tbl>
      <w:tblPr>
        <w:tblW w:w="9730" w:type="dxa"/>
        <w:jc w:val="left"/>
        <w:tblInd w:w="50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CellMar>
          <w:top w:w="120" w:type="dxa"/>
          <w:left w:w="116" w:type="dxa"/>
          <w:bottom w:w="120" w:type="dxa"/>
          <w:right w:w="120" w:type="dxa"/>
        </w:tblCellMar>
      </w:tblPr>
      <w:tblGrid>
        <w:gridCol w:w="1389"/>
        <w:gridCol w:w="1390"/>
        <w:gridCol w:w="1390"/>
        <w:gridCol w:w="1390"/>
        <w:gridCol w:w="1390"/>
        <w:gridCol w:w="1390"/>
        <w:gridCol w:w="1390"/>
      </w:tblGrid>
      <w:tr>
        <w:trPr>
          <w:tblHeader w:val="true"/>
        </w:trPr>
        <w:tc>
          <w:tcPr>
            <w:tcW w:w="9729" w:type="dxa"/>
            <w:gridSpan w:val="7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left w:w="116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/>
            </w:pPr>
            <w:r>
              <w:rPr/>
            </w:r>
          </w:p>
        </w:tc>
      </w:tr>
      <w:tr>
        <w:trPr/>
        <w:tc>
          <w:tcPr>
            <w:tcW w:w="9729" w:type="dxa"/>
            <w:gridSpan w:val="7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left w:w="116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 xml:space="preserve">Kontrola požiarnych uzáverov -                   </w:t>
            </w:r>
            <w:r>
              <w:rPr>
                <w:b w:val="false"/>
                <w:bCs w:val="false"/>
              </w:rPr>
              <w:t>počas trvania zmluvného vzťahu</w:t>
            </w:r>
          </w:p>
        </w:tc>
      </w:tr>
      <w:tr>
        <w:trPr/>
        <w:tc>
          <w:tcPr>
            <w:tcW w:w="1389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389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/>
            </w:pPr>
            <w:r>
              <w:rPr/>
              <w:t xml:space="preserve">Dodávka hasiacich prístrojov a požiarnych hydrantov </w:t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/>
            </w:pPr>
            <w:r>
              <w:rPr/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/>
            </w:pPr>
            <w:r>
              <w:rPr>
                <w:rFonts w:eastAsia="Liberation Serif;Times New Roman" w:cs="Liberation Serif;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počas trvania zmluvného vzťahu</w:t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</w:tc>
      </w:tr>
      <w:tr>
        <w:trPr/>
        <w:tc>
          <w:tcPr>
            <w:tcW w:w="1389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</w:tc>
        <w:tc>
          <w:tcPr>
            <w:tcW w:w="139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  <w:sz w:val="4"/>
                <w:szCs w:val="4"/>
              </w:rPr>
            </w:pPr>
            <w:r>
              <w:rPr>
                <w:b w:val="false"/>
                <w:sz w:val="4"/>
                <w:szCs w:val="4"/>
              </w:rPr>
            </w:r>
          </w:p>
        </w:tc>
        <w:tc>
          <w:tcPr>
            <w:tcW w:w="6950" w:type="dxa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389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left w:w="116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Dodávate musí predložiť zoznam spôsobilých osôb s osvedčením technik požiarnej ochrany v súlade s § 9 zákona č. 314/2001</w:t>
            </w:r>
          </w:p>
        </w:tc>
        <w:tc>
          <w:tcPr>
            <w:tcW w:w="8340" w:type="dxa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left w:w="116" w:type="dxa"/>
            </w:tcMar>
            <w:vAlign w:val="center"/>
          </w:tcPr>
          <w:p>
            <w:pPr>
              <w:pStyle w:val="Obsahtabuky"/>
              <w:widowControl/>
              <w:snapToGrid w:val="false"/>
              <w:spacing w:lineRule="auto" w:line="3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389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left w:w="116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Dodávateľ musí predložiť zoznam spôsobilých osôb zabezpečujúcich výkon služieb a činností súvisiacich so zabezpečovaním kontroly, opravy, inštalácie a obstarávania prenosných hasiacich prístrojov a kontroly a opravy požiarnych hydrantov</w:t>
            </w:r>
          </w:p>
        </w:tc>
        <w:tc>
          <w:tcPr>
            <w:tcW w:w="8340" w:type="dxa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left w:w="116" w:type="dxa"/>
            </w:tcMar>
            <w:vAlign w:val="center"/>
          </w:tcPr>
          <w:p>
            <w:pPr>
              <w:pStyle w:val="Obsahtabuky"/>
              <w:widowControl/>
              <w:snapToGrid w:val="false"/>
              <w:spacing w:lineRule="auto" w:line="3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/>
        <w:spacing w:before="450" w:after="150"/>
        <w:ind w:left="0" w:right="0" w:hanging="0"/>
        <w:rPr/>
      </w:pPr>
      <w:r>
        <w:rPr/>
      </w:r>
    </w:p>
    <w:p>
      <w:pPr>
        <w:pStyle w:val="Normal"/>
        <w:widowControl/>
        <w:spacing w:before="450" w:after="150"/>
        <w:ind w:left="0" w:right="0" w:hanging="0"/>
        <w:rPr/>
      </w:pPr>
      <w:r>
        <w:rPr/>
        <w:t>Osobitné požiadavky na plnenie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6" w:name="OsobitPpoziadavkyNaPlnenie"/>
      <w:bookmarkStart w:id="7" w:name="OsobitPpoziadavkyNaPlnenie"/>
      <w:bookmarkEnd w:id="7"/>
      <w:r>
        <w:rPr>
          <w:sz w:val="4"/>
          <w:szCs w:val="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tbl>
      <w:tblPr>
        <w:tblW w:w="964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44"/>
      </w:tblGrid>
      <w:tr>
        <w:trPr>
          <w:tblHeader w:val="true"/>
        </w:trPr>
        <w:tc>
          <w:tcPr>
            <w:tcW w:w="9644" w:type="dxa"/>
            <w:tcBorders/>
            <w:shd w:fill="auto" w:val="clear"/>
            <w:vAlign w:val="center"/>
          </w:tcPr>
          <w:p>
            <w:pPr>
              <w:pStyle w:val="Obsahtabuky"/>
              <w:snapToGrid w:val="false"/>
              <w:spacing w:lineRule="auto" w:line="336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Vrátane dopravy na miesto plnenia.</w:t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Miestom výkonu poskytovania služby je pracovisko objednávateľa, ktorý má sídlo v Štúrove.</w:t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Dodávateľ je povinný objednávateľovi predložiť do 5 pracovných dní od nadobudnutia účinnosti zmluvy právoplatné oprávnenia k výkonu činnosti technika BOZP a PO.</w:t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Dodávateľ je povinný do 5 pracovných dní od nadobudnutia účinnosti zmluvy kontaktnej osobe objednávateľa písomne oznámiť identifikačné údaje o osobe zodpovednej za riadne poskytovanie predmetu zmluvy ako aj číslo účtu spoločnosti, na ktorý bude poukazovaná platba za plnenie tejto zmluvy.</w:t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Plnenie sa poskytuje postupne. Za ucelenú časť plnenia sa považujú služby dodané v priebehu jedného kalendárneho mesiaca.</w:t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Dodávateľovi bude uhrádzaný každý mesiac pravidelný paušálny poplatok za poskytovanie služieb opísaných vyššie vo výške 1/12 celkovej ceny predmetu zmluvy.</w:t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Dodávateľ vystaví faktúru za každú dodanú ucelenú časť plnenia v súlade s platobnými podmienkami Všeobecných zmluvných podmienok najneskôr do 10. dňa nasledujúceho kalendárneho mesiaca.</w:t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Objednávateľ sa zaväzuje odovzdať poskytovateľovi všetky informácie a údaje a doklady potrebné na plnenie úloh vyplývajúcich zo špecifikácie predmetu zmluvy. Objednávateľ umožní poskytovateľovi vstup do všetkých priestorov vo vlastníctve a v prenájme.</w:t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Objednávateľ oznámi dodávateľovi termín každej kontroly vykonávanej oprávnenými orgánmi v oblasti BOZP najmenej 3 pracovné dni pred jej začatím. Dodávateľ je povinný zabezpečiť svoju účasť pri každej kontrole a pri prerokovaní zápisnice z kontroly. V prípade, že z objektívnych príčin nie je objednávateľ schopný dodržať opísanú lehotu na oznámenie, dodávateľ zabezpečí svoju účasť primerane okolnostiam.</w:t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3F3F3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>
                <w:b/>
                <w:b/>
                <w:bCs/>
              </w:rPr>
            </w:pPr>
            <w:r>
              <w:rPr>
                <w:b/>
                <w:bCs/>
              </w:rPr>
              <w:t>Požaduje sa uzatvorenie zmluvy na 48 mesiacov odo dňa účinnosti zmluvy.</w:t>
            </w:r>
          </w:p>
        </w:tc>
      </w:tr>
      <w:tr>
        <w:trPr/>
        <w:tc>
          <w:tcPr>
            <w:tcW w:w="964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F9F9F9" w:val="clear"/>
            <w:tcMar>
              <w:top w:w="120" w:type="dxa"/>
              <w:left w:w="116" w:type="dxa"/>
              <w:bottom w:w="120" w:type="dxa"/>
              <w:right w:w="120" w:type="dxa"/>
            </w:tcMar>
            <w:vAlign w:val="center"/>
          </w:tcPr>
          <w:p>
            <w:pPr>
              <w:pStyle w:val="Obsahtabuky"/>
              <w:spacing w:lineRule="auto" w:line="336"/>
              <w:rPr/>
            </w:pPr>
            <w:r>
              <w:rPr/>
              <w:t>Nedodržanie ktorejkoľvek podmienky a požiadavky objednávateľa  sa bude považovať za podstatné porušenie zmluvných podmienok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Prílona č.2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i/>
          <w:iCs/>
        </w:rPr>
        <w:t xml:space="preserve">             </w:t>
      </w:r>
      <w:r>
        <w:rPr/>
        <w:t xml:space="preserve">           </w:t>
      </w:r>
      <w:r>
        <w:rPr>
          <w:b/>
          <w:bCs/>
        </w:rPr>
        <w:t>Identifikačné údaje uchádzača, predkladateľa cenovej ponuky: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4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79"/>
        <w:gridCol w:w="7365"/>
      </w:tblGrid>
      <w:tr>
        <w:trPr/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Obchodný názov:</w:t>
            </w:r>
          </w:p>
          <w:p>
            <w:pPr>
              <w:pStyle w:val="Obsahtabuky"/>
              <w:rPr/>
            </w:pPr>
            <w:r>
              <w:rPr/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Sídlo:</w:t>
            </w:r>
          </w:p>
          <w:p>
            <w:pPr>
              <w:pStyle w:val="Obsahtabuky"/>
              <w:rPr/>
            </w:pPr>
            <w:r>
              <w:rPr/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Štatutárny orgán:</w:t>
            </w:r>
          </w:p>
          <w:p>
            <w:pPr>
              <w:pStyle w:val="Obsahtabuky"/>
              <w:rPr/>
            </w:pPr>
            <w:r>
              <w:rPr/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Kontaktná osoba:</w:t>
            </w:r>
          </w:p>
          <w:p>
            <w:pPr>
              <w:pStyle w:val="Obsahtabuky"/>
              <w:rPr/>
            </w:pPr>
            <w:r>
              <w:rPr/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IČO:</w:t>
            </w:r>
          </w:p>
          <w:p>
            <w:pPr>
              <w:pStyle w:val="Obsahtabuky"/>
              <w:rPr/>
            </w:pPr>
            <w:r>
              <w:rPr/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DIČ:</w:t>
            </w:r>
          </w:p>
          <w:p>
            <w:pPr>
              <w:pStyle w:val="Obsahtabuky"/>
              <w:rPr/>
            </w:pPr>
            <w:r>
              <w:rPr/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Telefón</w:t>
            </w:r>
          </w:p>
          <w:p>
            <w:pPr>
              <w:pStyle w:val="Obsahtabuky"/>
              <w:rPr/>
            </w:pPr>
            <w:r>
              <w:rPr/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  <w:t>E-mail</w:t>
            </w:r>
          </w:p>
          <w:p>
            <w:pPr>
              <w:pStyle w:val="Obsahtabuky"/>
              <w:rPr/>
            </w:pPr>
            <w:r>
              <w:rPr/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Obsahtabuky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Dátum:</w:t>
      </w:r>
    </w:p>
    <w:p>
      <w:pPr>
        <w:pStyle w:val="Normal"/>
        <w:rPr/>
      </w:pPr>
      <w:r>
        <w:rPr/>
        <w:t xml:space="preserve">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</w:t>
      </w:r>
    </w:p>
    <w:p>
      <w:pPr>
        <w:pStyle w:val="Normal"/>
        <w:rPr/>
      </w:pPr>
      <w:r>
        <w:rPr/>
        <w:t xml:space="preserve">                                                                                  …</w:t>
      </w:r>
      <w:r>
        <w:rPr/>
        <w:t xml:space="preserve">.......................................................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>Podpis a pečiatka uchádzača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erriweather Sans">
    <w:altName w:val="Helvetica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b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096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Mangal"/>
      <w:color w:val="00000A"/>
      <w:kern w:val="2"/>
      <w:sz w:val="24"/>
      <w:szCs w:val="24"/>
      <w:lang w:val="sk-SK" w:eastAsia="hi-IN" w:bidi="hi-IN"/>
    </w:rPr>
  </w:style>
  <w:style w:type="paragraph" w:styleId="Nadpis5">
    <w:name w:val="Heading 5"/>
    <w:basedOn w:val="Nadpis"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n" w:hAnsi="Liberation Serif;Times New Roman" w:eastAsia="SimSun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20ca9"/>
    <w:rPr>
      <w:color w:val="0000FF"/>
      <w:u w:val="single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b/>
      <w:bCs/>
    </w:rPr>
  </w:style>
  <w:style w:type="character" w:styleId="ListLabel3">
    <w:name w:val="ListLabel 3"/>
    <w:qFormat/>
    <w:rPr>
      <w:b/>
      <w:bCs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b/>
      <w:bCs/>
    </w:rPr>
  </w:style>
  <w:style w:type="character" w:styleId="ListLabel14">
    <w:name w:val="ListLabel 14"/>
    <w:qFormat/>
    <w:rPr>
      <w:b/>
      <w:bCs/>
    </w:rPr>
  </w:style>
  <w:style w:type="character" w:styleId="ListLabel15">
    <w:name w:val="ListLabel 15"/>
    <w:qFormat/>
    <w:rPr>
      <w:b/>
      <w:bCs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  <w:b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b/>
      <w:bCs/>
    </w:rPr>
  </w:style>
  <w:style w:type="character" w:styleId="ListLabel56">
    <w:name w:val="ListLabel 56"/>
    <w:qFormat/>
    <w:rPr>
      <w:b/>
      <w:bCs/>
    </w:rPr>
  </w:style>
  <w:style w:type="character" w:styleId="ListLabel57">
    <w:name w:val="ListLabel 57"/>
    <w:qFormat/>
    <w:rPr>
      <w:b/>
      <w:bCs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  <w:b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b/>
      <w:bCs/>
    </w:rPr>
  </w:style>
  <w:style w:type="character" w:styleId="ListLabel86">
    <w:name w:val="ListLabel 86"/>
    <w:qFormat/>
    <w:rPr>
      <w:b/>
      <w:bCs/>
    </w:rPr>
  </w:style>
  <w:style w:type="character" w:styleId="ListLabel87">
    <w:name w:val="ListLabel 87"/>
    <w:qFormat/>
    <w:rPr>
      <w:b/>
      <w:bCs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b/>
      <w:bCs/>
    </w:rPr>
  </w:style>
  <w:style w:type="character" w:styleId="ListLabel98">
    <w:name w:val="ListLabel 98"/>
    <w:qFormat/>
    <w:rPr>
      <w:b/>
      <w:bCs/>
    </w:rPr>
  </w:style>
  <w:style w:type="character" w:styleId="ListLabel99">
    <w:name w:val="ListLabel 99"/>
    <w:qFormat/>
    <w:rPr>
      <w:b/>
      <w:bCs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  <w:b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b/>
      <w:bCs/>
    </w:rPr>
  </w:style>
  <w:style w:type="character" w:styleId="ListLabel128">
    <w:name w:val="ListLabel 128"/>
    <w:qFormat/>
    <w:rPr>
      <w:b/>
      <w:bCs/>
    </w:rPr>
  </w:style>
  <w:style w:type="character" w:styleId="ListLabel129">
    <w:name w:val="ListLabel 129"/>
    <w:qFormat/>
    <w:rPr>
      <w:b/>
      <w:bCs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b/>
      <w:bCs/>
    </w:rPr>
  </w:style>
  <w:style w:type="character" w:styleId="ListLabel140">
    <w:name w:val="ListLabel 140"/>
    <w:qFormat/>
    <w:rPr>
      <w:b/>
      <w:bCs/>
    </w:rPr>
  </w:style>
  <w:style w:type="character" w:styleId="ListLabel141">
    <w:name w:val="ListLabel 141"/>
    <w:qFormat/>
    <w:rPr>
      <w:b/>
      <w:bCs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  <w:b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ListLabel160">
    <w:name w:val="ListLabel 160"/>
    <w:qFormat/>
    <w:rPr>
      <w:b/>
      <w:bCs/>
    </w:rPr>
  </w:style>
  <w:style w:type="character" w:styleId="ListLabel161">
    <w:name w:val="ListLabel 161"/>
    <w:qFormat/>
    <w:rPr>
      <w:b/>
      <w:bCs/>
    </w:rPr>
  </w:style>
  <w:style w:type="character" w:styleId="ListLabel162">
    <w:name w:val="ListLabel 162"/>
    <w:qFormat/>
    <w:rPr>
      <w:b/>
      <w:bCs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b/>
      <w:bCs/>
    </w:rPr>
  </w:style>
  <w:style w:type="character" w:styleId="ListLabel173">
    <w:name w:val="ListLabel 173"/>
    <w:qFormat/>
    <w:rPr>
      <w:b/>
      <w:bCs/>
    </w:rPr>
  </w:style>
  <w:style w:type="character" w:styleId="ListLabel174">
    <w:name w:val="ListLabel 174"/>
    <w:qFormat/>
    <w:rPr>
      <w:b/>
      <w:bCs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  <w:b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;Arial Unicode MS"/>
      <w:b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 w:customStyle="1">
    <w:name w:val="Obsah tabuľky"/>
    <w:basedOn w:val="Normal"/>
    <w:qFormat/>
    <w:rsid w:val="00a80969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720ca9"/>
    <w:pPr>
      <w:ind w:left="708" w:hanging="0"/>
    </w:pPr>
    <w:rPr>
      <w:szCs w:val="21"/>
    </w:rPr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ssturovo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LibreOffice/5.4.1.2$Windows_X86_64 LibreOffice_project/ea7cb86e6eeb2bf3a5af73a8f7777ac570321527</Application>
  <Pages>15</Pages>
  <Words>1689</Words>
  <Characters>10990</Characters>
  <CharactersWithSpaces>13959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2016-11-08T12:35:00Z</dcterms:created>
  <dc:creator>pc</dc:creator>
  <dc:description/>
  <dc:language>sk-SK</dc:language>
  <cp:lastModifiedBy/>
  <cp:lastPrinted>2019-01-09T09:59:21Z</cp:lastPrinted>
  <dcterms:modified xsi:type="dcterms:W3CDTF">2019-01-09T09:59:39Z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