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0" w:leader="none"/>
        </w:tabs>
        <w:ind w:left="424" w:hanging="0"/>
        <w:jc w:val="center"/>
        <w:rPr/>
      </w:pPr>
      <w:r>
        <w:rPr>
          <w:rFonts w:cs="Liberation Serif"/>
        </w:rPr>
        <w:t>§</w:t>
      </w:r>
      <w:r>
        <w:rPr/>
        <w:t>3 l</w:t>
      </w:r>
    </w:p>
    <w:p>
      <w:pPr>
        <w:pStyle w:val="Tretekstu"/>
        <w:tabs>
          <w:tab w:val="left" w:pos="0" w:leader="none"/>
        </w:tabs>
        <w:ind w:left="707" w:hanging="283"/>
        <w:jc w:val="center"/>
        <w:rPr>
          <w:b/>
          <w:b/>
          <w:bCs/>
        </w:rPr>
      </w:pPr>
      <w:r>
        <w:rPr>
          <w:b/>
          <w:bCs/>
        </w:rPr>
        <w:t>Punktowy system oceniania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jc w:val="both"/>
        <w:rPr/>
      </w:pPr>
      <w:r>
        <w:rPr/>
        <w:t>W szkole w klasach IV – VIII obowiązuje punktowy system oceniania.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before="0" w:after="0"/>
        <w:jc w:val="both"/>
        <w:rPr/>
      </w:pPr>
      <w:r>
        <w:rPr/>
        <w:t>Ocenę zachowania ucznia ustala wychowawca klasy na podstawie uzyskanych przez ucznia punktów, po umożliwieniu uczniowi dokonania samooceny oraz po zasięgnięciu opinii zespołu klasowego i nauczycieli uczących daną</w:t>
      </w:r>
      <w:bookmarkStart w:id="0" w:name="_GoBack"/>
      <w:bookmarkEnd w:id="0"/>
      <w:r>
        <w:rPr/>
        <w:t xml:space="preserve"> klasę.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before="0" w:after="15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Ocena z zachowania obejmuje funkcjonowanie ucznia  w środowisku szkolnym, respektowanie zasad współżycia społecznego i ogólnie przyjętych norm etycznych.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before="0" w:after="15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Punktowy system oceny zachowania ma na celu jej zobiektywizowanie i wyklarowanie zasad, w oparciu o które jest ona wystawiana.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Ocenę wystawia wychowawca klasy na podstawie wpisów w dzienniku elektronicznym. 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before="0" w:after="15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Wpisu do dziennika elektronicznego, dokonuje na bieżąco wychowawca lub inny nauczyciel.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before="0" w:after="15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Uczeń ma prawo znać bieżącą punktację swojego zachowania.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before="0" w:after="15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sytuacji wątpliwej wychowawca może zasięgnąć opinii Rady Pedagogicznej.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0" w:leader="none"/>
        </w:tabs>
        <w:spacing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 </w:t>
      </w:r>
      <w:r>
        <w:rPr>
          <w:rFonts w:eastAsia="Times New Roman" w:cs="Times New Roman" w:ascii="Times New Roman" w:hAnsi="Times New Roman"/>
          <w:color w:val="000000"/>
          <w:lang w:eastAsia="pl-PL"/>
        </w:rPr>
        <w:t>Oceną wyjściową jest ocena dobra.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738" w:leader="none"/>
        </w:tabs>
        <w:spacing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Na początku semestru uczeń otrzymuje 100 punktów.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788" w:leader="none"/>
        </w:tabs>
        <w:spacing w:before="0" w:after="15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 pozytywne działania uczeń otrzymuje punkty dodatnie.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788" w:leader="none"/>
        </w:tabs>
        <w:spacing w:before="0" w:after="15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Działania negatywne powodują otrzymanie punktów ujemnych.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850" w:leader="none"/>
        </w:tabs>
        <w:spacing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Uczeń, który otrzyma 30 punktów ujemnych w semestrze nie może mieć oceny wzorowej.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850" w:leader="none"/>
        </w:tabs>
        <w:spacing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Uczeń, który otrzyma 40 punktów ujemnych w semestrze nie może mieć oceny bardzo dobrej.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850" w:leader="none"/>
        </w:tabs>
        <w:spacing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Uczeń, który otrzyma 50 punktów ujemnych w semestrze nie może mieć oceny dobrej.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850" w:leader="none"/>
        </w:tabs>
        <w:spacing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Uczeń uzyskuje ocenę semestralną (roczną) w zależności od ilości uzyskanych punktów - wg tabeli 1:</w:t>
      </w:r>
    </w:p>
    <w:tbl>
      <w:tblPr>
        <w:tblW w:w="7188" w:type="dxa"/>
        <w:jc w:val="left"/>
        <w:tblInd w:w="1217" w:type="dxa"/>
        <w:tblBorders>
          <w:top w:val="single" w:sz="6" w:space="0" w:color="008080"/>
          <w:left w:val="single" w:sz="6" w:space="0" w:color="008080"/>
          <w:bottom w:val="single" w:sz="6" w:space="0" w:color="008080"/>
          <w:insideH w:val="single" w:sz="6" w:space="0" w:color="008080"/>
        </w:tblBorders>
        <w:tblCellMar>
          <w:top w:w="75" w:type="dxa"/>
          <w:left w:w="11" w:type="dxa"/>
          <w:bottom w:w="75" w:type="dxa"/>
          <w:right w:w="75" w:type="dxa"/>
        </w:tblCellMar>
        <w:tblLook w:firstRow="0" w:noVBand="0" w:lastRow="0" w:firstColumn="0" w:lastColumn="0" w:noHBand="0" w:val="0000"/>
      </w:tblPr>
      <w:tblGrid>
        <w:gridCol w:w="3737"/>
        <w:gridCol w:w="3450"/>
      </w:tblGrid>
      <w:tr>
        <w:trPr/>
        <w:tc>
          <w:tcPr>
            <w:tcW w:w="373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Zachowanie</w:t>
            </w:r>
          </w:p>
        </w:tc>
        <w:tc>
          <w:tcPr>
            <w:tcW w:w="345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>
        <w:trPr/>
        <w:tc>
          <w:tcPr>
            <w:tcW w:w="373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wzorowe</w:t>
            </w:r>
          </w:p>
        </w:tc>
        <w:tc>
          <w:tcPr>
            <w:tcW w:w="345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200 i więcej</w:t>
            </w:r>
          </w:p>
        </w:tc>
      </w:tr>
      <w:tr>
        <w:trPr/>
        <w:tc>
          <w:tcPr>
            <w:tcW w:w="373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bardzo dobre</w:t>
            </w:r>
          </w:p>
        </w:tc>
        <w:tc>
          <w:tcPr>
            <w:tcW w:w="345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151 - 199</w:t>
            </w:r>
          </w:p>
        </w:tc>
      </w:tr>
      <w:tr>
        <w:trPr/>
        <w:tc>
          <w:tcPr>
            <w:tcW w:w="373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dobre</w:t>
            </w:r>
          </w:p>
        </w:tc>
        <w:tc>
          <w:tcPr>
            <w:tcW w:w="345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100 - 150</w:t>
            </w:r>
          </w:p>
        </w:tc>
      </w:tr>
      <w:tr>
        <w:trPr/>
        <w:tc>
          <w:tcPr>
            <w:tcW w:w="373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poprawne</w:t>
            </w:r>
          </w:p>
        </w:tc>
        <w:tc>
          <w:tcPr>
            <w:tcW w:w="345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51 - 99</w:t>
            </w:r>
          </w:p>
        </w:tc>
      </w:tr>
      <w:tr>
        <w:trPr/>
        <w:tc>
          <w:tcPr>
            <w:tcW w:w="373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nieodpowiednie</w:t>
            </w:r>
          </w:p>
        </w:tc>
        <w:tc>
          <w:tcPr>
            <w:tcW w:w="345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21 - 50</w:t>
            </w:r>
          </w:p>
        </w:tc>
      </w:tr>
      <w:tr>
        <w:trPr/>
        <w:tc>
          <w:tcPr>
            <w:tcW w:w="373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naganne</w:t>
            </w:r>
          </w:p>
        </w:tc>
        <w:tc>
          <w:tcPr>
            <w:tcW w:w="345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 i mniej</w:t>
            </w:r>
          </w:p>
        </w:tc>
      </w:tr>
    </w:tbl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shd w:val="clear" w:color="auto" w:fill="FFFFFF"/>
        <w:spacing w:before="0" w:after="150"/>
        <w:jc w:val="both"/>
        <w:rPr>
          <w:rFonts w:ascii="Times New Roman" w:hAnsi="Times New Roman" w:eastAsia="Times New Roman" w:cs="Times New Roman"/>
          <w:color w:val="FF3333"/>
          <w:lang w:eastAsia="pl-PL"/>
        </w:rPr>
      </w:pPr>
      <w:r>
        <w:rPr>
          <w:rFonts w:eastAsia="Times New Roman" w:cs="Times New Roman" w:ascii="Times New Roman" w:hAnsi="Times New Roman"/>
          <w:color w:val="FF3333"/>
          <w:lang w:eastAsia="pl-PL"/>
        </w:rPr>
        <w:t>.</w:t>
      </w:r>
    </w:p>
    <w:p>
      <w:pPr>
        <w:pStyle w:val="Normal"/>
        <w:numPr>
          <w:ilvl w:val="0"/>
          <w:numId w:val="4"/>
        </w:numPr>
        <w:shd w:val="clear" w:color="auto" w:fill="FFFFFF"/>
        <w:spacing w:before="0" w:after="15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Wychowawca ma prawo obniżyć</w:t>
      </w: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eastAsia="pl-PL"/>
        </w:rPr>
        <w:t xml:space="preserve"> lub podwyższyć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ocenę o jeden stopień w stosunku                   do uzyskanych punktów w sytuacji kiedy zachowanie ucznia:</w:t>
      </w:r>
    </w:p>
    <w:p>
      <w:pPr>
        <w:pStyle w:val="ListParagraph"/>
        <w:numPr>
          <w:ilvl w:val="0"/>
          <w:numId w:val="10"/>
        </w:numPr>
        <w:shd w:val="clear" w:color="auto" w:fill="FFFFFF"/>
        <w:spacing w:before="57" w:after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stanowi zagrożenie dla bezpieczeństwa, życia i zdrowia własnego oraz innych,</w:t>
      </w:r>
    </w:p>
    <w:p>
      <w:pPr>
        <w:pStyle w:val="ListParagraph"/>
        <w:numPr>
          <w:ilvl w:val="0"/>
          <w:numId w:val="10"/>
        </w:numPr>
        <w:shd w:val="clear" w:color="auto" w:fill="FFFFFF"/>
        <w:spacing w:before="57" w:after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świadomie i ze złą wolą łamie normy obowiązujące w środowisku szkolnym,</w:t>
      </w:r>
    </w:p>
    <w:p>
      <w:pPr>
        <w:pStyle w:val="ListParagraph"/>
        <w:numPr>
          <w:ilvl w:val="0"/>
          <w:numId w:val="10"/>
        </w:numPr>
        <w:shd w:val="clear" w:color="auto" w:fill="FFFFFF"/>
        <w:spacing w:before="57" w:after="57"/>
        <w:contextualSpacing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pl-PL"/>
        </w:rPr>
        <w:t>wywiera negatywny wpływ na rówieśników.</w:t>
      </w:r>
    </w:p>
    <w:p>
      <w:pPr>
        <w:pStyle w:val="ListParagraph"/>
        <w:shd w:val="clear" w:color="auto" w:fill="FFFFFF"/>
        <w:spacing w:before="57" w:after="57"/>
        <w:ind w:left="108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57" w:after="5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Wychowawca ma prawo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podwyższyć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ocenę o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jeden stopień w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stosunku do uzyskanych punktów w sytuacji kiedy  uczeń:</w:t>
      </w:r>
    </w:p>
    <w:p>
      <w:pPr>
        <w:pStyle w:val="ListParagraph"/>
        <w:shd w:val="clear" w:color="auto" w:fill="FFFFFF"/>
        <w:spacing w:before="57" w:after="57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1"/>
        </w:numPr>
        <w:shd w:val="clear" w:color="auto" w:fill="FFFFFF"/>
        <w:spacing w:before="280" w:after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wykazał się wyróżniającą postawą w respektowaniu zasad współżycia społecznego                  i norm etycznych,</w:t>
      </w:r>
    </w:p>
    <w:p>
      <w:pPr>
        <w:pStyle w:val="ListParagraph"/>
        <w:numPr>
          <w:ilvl w:val="0"/>
          <w:numId w:val="11"/>
        </w:numPr>
        <w:shd w:val="clear" w:color="auto" w:fill="FFFFFF"/>
        <w:spacing w:before="280" w:after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wywiązał się ze wszystkich zadań powierzonych mu przez szkołę, </w:t>
      </w:r>
    </w:p>
    <w:p>
      <w:pPr>
        <w:pStyle w:val="ListParagraph"/>
        <w:numPr>
          <w:ilvl w:val="0"/>
          <w:numId w:val="11"/>
        </w:numPr>
        <w:shd w:val="clear" w:color="auto" w:fill="FFFFFF"/>
        <w:spacing w:before="280" w:after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  <w:highlight w:val="white"/>
        </w:rPr>
        <w:t>jest osobą godną naśladowania,</w:t>
      </w:r>
    </w:p>
    <w:p>
      <w:pPr>
        <w:pStyle w:val="ListParagraph"/>
        <w:numPr>
          <w:ilvl w:val="0"/>
          <w:numId w:val="11"/>
        </w:numPr>
        <w:shd w:val="clear" w:color="auto" w:fill="FFFFFF"/>
        <w:spacing w:before="280" w:after="280"/>
        <w:contextualSpacing/>
        <w:jc w:val="both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pl-PL"/>
        </w:rPr>
        <w:t>dba o dobre imię szkoły,</w:t>
      </w:r>
    </w:p>
    <w:p>
      <w:pPr>
        <w:pStyle w:val="ListParagraph"/>
        <w:numPr>
          <w:ilvl w:val="0"/>
          <w:numId w:val="11"/>
        </w:numPr>
        <w:shd w:val="clear" w:color="auto" w:fill="FFFFFF"/>
        <w:spacing w:before="280" w:after="280"/>
        <w:contextualSpacing/>
        <w:jc w:val="both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pl-PL"/>
        </w:rPr>
        <w:t>zareagował w sytuacji zagrożenia zdrowie i życia innych osób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3m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Kryteria ustalania oceny zachowania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150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Zachowanie ucznia ocenia się w dwóch obszarach: zachowania pozytywne i zachowania negatywne.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ZACHOWANIA POZYTYWNE</w:t>
      </w:r>
    </w:p>
    <w:p>
      <w:pPr>
        <w:pStyle w:val="Normal"/>
        <w:shd w:val="clear" w:color="auto" w:fill="FFFFFF"/>
        <w:spacing w:before="0" w:after="150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Tabela 2. Waga pozytywnych zachowań</w:t>
      </w:r>
    </w:p>
    <w:tbl>
      <w:tblPr>
        <w:tblW w:w="9300" w:type="dxa"/>
        <w:jc w:val="left"/>
        <w:tblInd w:w="323" w:type="dxa"/>
        <w:tblBorders>
          <w:top w:val="single" w:sz="6" w:space="0" w:color="008080"/>
          <w:left w:val="single" w:sz="6" w:space="0" w:color="008080"/>
          <w:bottom w:val="single" w:sz="6" w:space="0" w:color="008080"/>
          <w:insideH w:val="single" w:sz="6" w:space="0" w:color="008080"/>
        </w:tblBorders>
        <w:tblCellMar>
          <w:top w:w="75" w:type="dxa"/>
          <w:left w:w="11" w:type="dxa"/>
          <w:bottom w:w="75" w:type="dxa"/>
          <w:right w:w="75" w:type="dxa"/>
        </w:tblCellMar>
        <w:tblLook w:firstRow="0" w:noVBand="0" w:lastRow="0" w:firstColumn="0" w:lastColumn="0" w:noHBand="0" w:val="0000"/>
      </w:tblPr>
      <w:tblGrid>
        <w:gridCol w:w="571"/>
        <w:gridCol w:w="5775"/>
        <w:gridCol w:w="969"/>
        <w:gridCol w:w="1984"/>
      </w:tblGrid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Kryteria oceny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Częstotliwość</w:t>
            </w:r>
          </w:p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(K- każdorazowo,</w:t>
            </w:r>
          </w:p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Ł- łącznie)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Pochwała dyrektora, w tym  na wniosek wychowawcy.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Pochwała wychowawcy.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Udział w konkursie przedmiotowym i zawodach sportowych na szczeblu wewnątrzszkolnym.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Udział w konkursie przedmiotowym i zawodach sportowych międzyszkolnym i gminnym.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Udział w konkursie przedmiotowym i zawodach sportowych na szczeblu wyższym niż gminny.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Tytuł laureata lub finalisty w konkursie przedmiotowym, I – III miejsce w   zawodach sportowych na szczeblu wyższym niż gminny.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Aktywne pełnienie funkcji w klasie.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Aktywne pełnienie funkcji w szkole.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Wybitne osiągnięcia w działalności klubów i organizacji pozaszkolnych (udokumentowane).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Godne reprezentowanie klasy i szkoły, wzorowe zachowanie podczas wyjazdów, wycieczek, apeli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Zaangażowanie w życie szkoły lub klasy.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Pomoc koleżeńska.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Aktywne i systematyczne czytelnictwo ( min. 10 książek/ semestr).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14.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Wzorowa frekwencja (1 dzień lub 5 godzin lekcyjnych absencji w semestrze) 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lang w:eastAsia="pl-PL"/>
              </w:rPr>
              <w:t>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15. 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Punktualność- brak spóźnień.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16.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Aktywny udział w działaniach na rzecz środowiska (np. działalność charytatywna, wolontariat)</w:t>
            </w:r>
          </w:p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Przyniesienie darów w ramach zbiórek, kiermasze, festyny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30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17.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Reprezentowanie szkoły podczas uroczystości </w:t>
            </w:r>
          </w:p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o charakterze państwowym i lokalnym.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18.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Wzbogacanie pracowni dydaktycznych o własnoręcznie wykonane prace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19.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Wykonanie gazetki szkolnej lub klasowej.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Pomoc w przygotowaniu imprez klasowych i szkolnych.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21.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Systematyczny udział w zajęciach dodatkowych organizowanych przez szkołę.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22.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Członkostwo w szkolnym klubie wolontariatu 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23.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Przestrzeganie zasad bezpieczeństwa i prawidłowe reagowanie na przejawy zagrożenia.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24.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Kultura osobista ucznia (wygląd, właściwe zachowanie wobec innych osób).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25.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Zorganizowanie z własnej inicjatywy konkursu szkolnego, różnorodnych akcji np. na rzecz innych, projektu, przedsięwzięcia.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71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26.</w:t>
            </w:r>
          </w:p>
        </w:tc>
        <w:tc>
          <w:tcPr>
            <w:tcW w:w="577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Premia za brak punktów ujemnych.</w:t>
            </w:r>
          </w:p>
        </w:tc>
        <w:tc>
          <w:tcPr>
            <w:tcW w:w="96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</w:tbl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ZACHOWANIA NEGATYWNE</w:t>
      </w:r>
    </w:p>
    <w:p>
      <w:pPr>
        <w:pStyle w:val="Normal"/>
        <w:shd w:val="clear" w:color="auto" w:fill="FFFFFF"/>
        <w:spacing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/>
      </w:r>
    </w:p>
    <w:p>
      <w:pPr>
        <w:pStyle w:val="Normal"/>
        <w:shd w:val="clear" w:color="auto" w:fill="FFFFFF"/>
        <w:spacing w:before="0" w:after="150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Tabela 3. Waga negatywnych zachowań</w:t>
      </w:r>
    </w:p>
    <w:tbl>
      <w:tblPr>
        <w:tblW w:w="9300" w:type="dxa"/>
        <w:jc w:val="left"/>
        <w:tblInd w:w="323" w:type="dxa"/>
        <w:tblBorders>
          <w:top w:val="single" w:sz="6" w:space="0" w:color="008080"/>
          <w:left w:val="single" w:sz="6" w:space="0" w:color="008080"/>
          <w:bottom w:val="single" w:sz="6" w:space="0" w:color="008080"/>
          <w:insideH w:val="single" w:sz="6" w:space="0" w:color="008080"/>
        </w:tblBorders>
        <w:tblCellMar>
          <w:top w:w="75" w:type="dxa"/>
          <w:left w:w="11" w:type="dxa"/>
          <w:bottom w:w="75" w:type="dxa"/>
          <w:right w:w="75" w:type="dxa"/>
        </w:tblCellMar>
        <w:tblLook w:firstRow="0" w:noVBand="0" w:lastRow="0" w:firstColumn="0" w:lastColumn="0" w:noHBand="0" w:val="0000"/>
      </w:tblPr>
      <w:tblGrid>
        <w:gridCol w:w="568"/>
        <w:gridCol w:w="5720"/>
        <w:gridCol w:w="968"/>
        <w:gridCol w:w="2043"/>
      </w:tblGrid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Kryteria oceny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 xml:space="preserve">Częstotliwość 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( K- każdorazowo,</w:t>
            </w:r>
          </w:p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Ł- łącznie )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Nagana Dyrektora Szkoły.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- 50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Upomnienie Dyrektora Szkoły.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-30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Pisemna Nagana Wychowawcy.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- 30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Notoryczne przeszkadzanie na danej lekcji lub w czasie uroczystości szkolnych.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Aroganckie zachowanie wobec nauczyciela lub innego pracownika szkoły /Podważanie i komentowanie poleceń nauczyciela na lekcji. Lekceważący stosunek do nauki i pracy nauczyciela. Znieważanie nauczyciela lub innego pracownika szkoły/.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-10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Psychiczne dręczenie kolegów (przezywanie, wyśmiewanie, cyberprzemoc).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-20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Fizyczne dręczenie kolegów (plucie, bicie, kopanie, popychanie, podstawianie nogi, ciągnięcie za włosy).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-20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Bójka lub nakłanianie do niej.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-20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Wulgarne słownictwo.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Kłamstwo.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-15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Niszczenie mienia.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-30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Zaśmiecanie otoczenia.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-10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Spóźnienie na lekcję.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14.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Nieusprawiedliwiona nieobecność na zajęciach.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- 5/ dzień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Ł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15.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Samowolne opuszczenie terenu szkoły.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-20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16.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Wyłudzenie pieniędzy.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-30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17.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Kradzież.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18.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Nieestetyczny strój/ brak stroju galowego.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19.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Palenie papierosów, przynoszenie alkoholu, środków wybuchowych, substancji toksycznych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20.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Spożywanie alkoholu lub przyjście do szkoły po jego spożyciu, posiadanie lub zażywanie środków odurzających.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-100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21.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Niewykonanie zobowiązania (reprezentowanie szkoły, wykonanie dekoracji).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-20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22.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Naruszanie nietykalności cielesnej nauczycieli i innych pracowników szkoły.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23.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Podrabianie podpisów, fałszowanie dokumentów.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24.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Przebywanie w szatni i w toalecie w innym celu niż wskazuje przeznaczenie tych pomieszczeń.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-10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25.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Używanie, bez zgody nauczyciela, sprzętu multimedialnego na lekcji.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-15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26.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Jedzenie, picie lub żucie gumy na lekcji.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27.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Brak obuwia zmiennego.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>
          <w:trHeight w:val="727" w:hRule="atLeast"/>
        </w:trPr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28.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Niewłaściwe zachowanie w czasie dojazdu i powrotu ze szkoły.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-10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29.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 xml:space="preserve">Nieuprawnione upublicznienie wizerunku pracownika szkoły lub ucznia w formie zdjęcia lub nagrania. 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-50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K</w:t>
            </w:r>
          </w:p>
        </w:tc>
      </w:tr>
      <w:tr>
        <w:trPr/>
        <w:tc>
          <w:tcPr>
            <w:tcW w:w="5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/>
            </w:pPr>
            <w:r>
              <w:rPr/>
              <w:t>30.</w:t>
            </w:r>
          </w:p>
        </w:tc>
        <w:tc>
          <w:tcPr>
            <w:tcW w:w="5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rPr/>
            </w:pPr>
            <w:r>
              <w:rPr/>
              <w:t>Nieoddanie w terminie książki z biblioteki</w:t>
            </w:r>
          </w:p>
        </w:tc>
        <w:tc>
          <w:tcPr>
            <w:tcW w:w="96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insideH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/>
            </w:pPr>
            <w:r>
              <w:rPr/>
              <w:t>-5</w:t>
            </w:r>
          </w:p>
        </w:tc>
        <w:tc>
          <w:tcPr>
            <w:tcW w:w="2043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  <w:insideH w:val="single" w:sz="6" w:space="0" w:color="008080"/>
              <w:insideV w:val="single" w:sz="6" w:space="0" w:color="008080"/>
            </w:tcBorders>
            <w:shd w:color="auto" w:fill="FFFFFF" w:val="clear"/>
            <w:tcMar>
              <w:left w:w="11" w:type="dxa"/>
            </w:tcMar>
          </w:tcPr>
          <w:p>
            <w:pPr>
              <w:pStyle w:val="Normal"/>
              <w:spacing w:before="0" w:after="150"/>
              <w:jc w:val="center"/>
              <w:rPr/>
            </w:pPr>
            <w:r>
              <w:rPr/>
              <w:t>K</w:t>
            </w:r>
          </w:p>
        </w:tc>
      </w:tr>
    </w:tbl>
    <w:p>
      <w:pPr>
        <w:pStyle w:val="Normal"/>
        <w:shd w:val="clear" w:color="auto" w:fill="FFFFFF"/>
        <w:spacing w:before="0" w:after="15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numPr>
          <w:ilvl w:val="0"/>
          <w:numId w:val="6"/>
        </w:numPr>
        <w:shd w:val="clear" w:color="auto" w:fill="FFFFFF"/>
        <w:spacing w:before="0" w:after="150"/>
        <w:jc w:val="both"/>
        <w:rPr/>
      </w:pPr>
      <w:r>
        <w:rPr/>
        <w:t xml:space="preserve">W przypadku wyjątkowo drastycznych wykroczeń (kradzież, elementarne naruszenie norm prawnych, drastyczne naruszenie norm obyczajowych, konflikt z prawem), uczeń może decyzją wychowawcy, po uwzględnieniu opinii rady pedagogicznej, otrzymać ocenę naganną, nawet wtedy, gdyby był pod innym względem wzorowy. </w:t>
      </w:r>
    </w:p>
    <w:p>
      <w:pPr>
        <w:pStyle w:val="Normal"/>
        <w:numPr>
          <w:ilvl w:val="0"/>
          <w:numId w:val="6"/>
        </w:numPr>
        <w:shd w:val="clear" w:color="auto" w:fill="FFFFFF"/>
        <w:spacing w:before="0" w:after="150"/>
        <w:jc w:val="both"/>
        <w:rPr/>
      </w:pPr>
      <w:r>
        <w:rPr/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                 w tym publicznej poradni specjalistycznej. </w:t>
      </w:r>
    </w:p>
    <w:p>
      <w:pPr>
        <w:pStyle w:val="Normal"/>
        <w:shd w:val="clear" w:color="auto" w:fill="FFFFFF"/>
        <w:spacing w:before="0" w:after="150"/>
        <w:jc w:val="center"/>
        <w:rPr/>
      </w:pPr>
      <w:r>
        <w:rPr>
          <w:b/>
          <w:bCs/>
        </w:rPr>
        <w:t>§3 n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Warunki i tryb uzyskania wyższej niż przewidywana rocznej oceny zachowania</w:t>
      </w:r>
    </w:p>
    <w:p>
      <w:pPr>
        <w:pStyle w:val="Default"/>
        <w:jc w:val="both"/>
        <w:rPr>
          <w:rFonts w:eastAsia="Times New Roman"/>
          <w:b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</w:r>
    </w:p>
    <w:p>
      <w:pPr>
        <w:pStyle w:val="Defaul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Uczeń lub jego rodzice ubiegający się o podwyższenie oceny zachowania zwracają                     się do wychowawcy z pisemnym wnioskiem w terminie 3 dni roboczych od otrzymania informacji o przewidywanej rocznej ocenie klasyfikacyjnej. </w:t>
      </w:r>
    </w:p>
    <w:p>
      <w:pPr>
        <w:pStyle w:val="Defaul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Wychowawca wniosek przekazuje do dyrektora szkoły.</w:t>
      </w:r>
    </w:p>
    <w:p>
      <w:pPr>
        <w:pStyle w:val="Defaul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Uzasadnienie wniosku może zawierać opis działań, które uczeń podejmował w ciągu roku szkolnego, a w szczególności: </w:t>
      </w:r>
    </w:p>
    <w:p>
      <w:pPr>
        <w:pStyle w:val="Default"/>
        <w:numPr>
          <w:ilvl w:val="0"/>
          <w:numId w:val="12"/>
        </w:numPr>
        <w:spacing w:before="0" w:after="167"/>
        <w:jc w:val="both"/>
        <w:rPr>
          <w:szCs w:val="24"/>
        </w:rPr>
      </w:pPr>
      <w:r>
        <w:rPr>
          <w:szCs w:val="24"/>
        </w:rPr>
        <w:t xml:space="preserve">aktywne działania w ramach koleżeńskiej pomocy w nauce; </w:t>
      </w:r>
    </w:p>
    <w:p>
      <w:pPr>
        <w:pStyle w:val="Default"/>
        <w:numPr>
          <w:ilvl w:val="0"/>
          <w:numId w:val="12"/>
        </w:numPr>
        <w:spacing w:before="0" w:after="167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aktywne włączanie się w działania na rzecz innych w ramach wolontariatu; </w:t>
      </w:r>
    </w:p>
    <w:p>
      <w:pPr>
        <w:pStyle w:val="Default"/>
        <w:numPr>
          <w:ilvl w:val="0"/>
          <w:numId w:val="12"/>
        </w:numPr>
        <w:spacing w:before="0" w:after="167"/>
        <w:jc w:val="both"/>
        <w:rPr>
          <w:szCs w:val="24"/>
        </w:rPr>
      </w:pPr>
      <w:r>
        <w:rPr>
          <w:szCs w:val="24"/>
        </w:rPr>
        <w:t xml:space="preserve">aktywny udział w przygotowywaniu uroczystości szkolnej lub klasowej; </w:t>
      </w:r>
    </w:p>
    <w:p>
      <w:pPr>
        <w:pStyle w:val="Default"/>
        <w:numPr>
          <w:ilvl w:val="0"/>
          <w:numId w:val="12"/>
        </w:numPr>
        <w:spacing w:before="0" w:after="167"/>
        <w:jc w:val="both"/>
        <w:rPr>
          <w:szCs w:val="24"/>
        </w:rPr>
      </w:pPr>
      <w:r>
        <w:rPr>
          <w:szCs w:val="24"/>
        </w:rPr>
        <w:t>przygotowywanie prezentacji lub innych materiałów edukacyjnych i przedstawianie                ich na lekcjach w swojej klasie.</w:t>
      </w:r>
    </w:p>
    <w:p>
      <w:pPr>
        <w:pStyle w:val="Default"/>
        <w:numPr>
          <w:ilvl w:val="0"/>
          <w:numId w:val="7"/>
        </w:numPr>
        <w:spacing w:before="0" w:after="167"/>
        <w:jc w:val="both"/>
        <w:rPr>
          <w:szCs w:val="24"/>
        </w:rPr>
      </w:pPr>
      <w:r>
        <w:rPr>
          <w:szCs w:val="24"/>
        </w:rPr>
        <w:t>Uczeń ubiegający się o podwyższenie oceny zachowania musi spełnić następujące warunki:</w:t>
      </w:r>
    </w:p>
    <w:p>
      <w:pPr>
        <w:pStyle w:val="Default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w ciągu roku szkolnego nie otrzymał upomnienia dyrektora Szkoły, pisemnej nagany nauczyciela lub wychowawcy, pisemnej nagany dyrektora Szkoły; </w:t>
      </w:r>
    </w:p>
    <w:p>
      <w:pPr>
        <w:pStyle w:val="Default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w ciągu roku szkolnego nie popełnił czynu karalnego, nie był inicjatorem bójki,                     nie korzystał z używek,</w:t>
      </w:r>
    </w:p>
    <w:p>
      <w:pPr>
        <w:pStyle w:val="Default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w okresie od podania informacji o przewidywanej ocenie zachowania do ustalenia </w:t>
      </w:r>
      <w:r>
        <w:rPr>
          <w:sz w:val="23"/>
        </w:rPr>
        <w:tab/>
        <w:t xml:space="preserve"> rocznej oceny klasyfikacyjnej, uczeń wykazał się szczególną aktywnością                                    w przedsięwzięciach podejmowanych dla podwyższenia oceny.</w:t>
      </w:r>
    </w:p>
    <w:p>
      <w:pPr>
        <w:pStyle w:val="Defaul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W przypadku uznania zasadności wniosku, wychowawca porozumiewa się z innymi nauczycielami, z pedagogiem lub psychologiem i podejmuje decyzję w terminie                         nie późniejszym niż na 3 dni przed rocznym klasyfikacyjnym zebraniem Rady Pedagogicznej.</w:t>
      </w:r>
    </w:p>
    <w:p>
      <w:pPr>
        <w:pStyle w:val="Defaul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Wychowawca odnotowuje fakt przeprowadzenia procedury podwyższenia oceny zachowania w dzienniku wychowawcy. </w:t>
      </w:r>
    </w:p>
    <w:p>
      <w:pPr>
        <w:pStyle w:val="Defaul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O ustalonej ocenie wychowawca informuje ucznia i jego rodziców. </w:t>
      </w:r>
    </w:p>
    <w:p>
      <w:pPr>
        <w:pStyle w:val="Default"/>
        <w:numPr>
          <w:ilvl w:val="0"/>
          <w:numId w:val="8"/>
        </w:numPr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W przypadku uznania niezasadności wniosku o podwyższenie przewidywanej oceny zachowania, wychowawca informuje ucznia i jego rodziców o odmowie wszczęcia postępowania, podając przyczyny odmowy. </w:t>
      </w:r>
    </w:p>
    <w:p>
      <w:pPr>
        <w:pStyle w:val="Default"/>
        <w:jc w:val="both"/>
        <w:rPr>
          <w:rFonts w:eastAsia="Times New Roman"/>
          <w:bCs/>
          <w:sz w:val="23"/>
          <w:szCs w:val="24"/>
          <w:lang w:eastAsia="pl-PL"/>
        </w:rPr>
      </w:pPr>
      <w:r>
        <w:rPr>
          <w:rFonts w:eastAsia="Times New Roman"/>
          <w:bCs/>
          <w:sz w:val="23"/>
          <w:szCs w:val="24"/>
          <w:lang w:eastAsia="pl-PL"/>
        </w:rPr>
      </w:r>
    </w:p>
    <w:p>
      <w:pPr>
        <w:pStyle w:val="Default"/>
        <w:jc w:val="both"/>
        <w:rPr>
          <w:rFonts w:eastAsia="Times New Roman"/>
          <w:bCs/>
          <w:sz w:val="23"/>
          <w:szCs w:val="24"/>
          <w:lang w:eastAsia="pl-PL"/>
        </w:rPr>
      </w:pPr>
      <w:r>
        <w:rPr>
          <w:rFonts w:eastAsia="Times New Roman"/>
          <w:bCs/>
          <w:sz w:val="23"/>
          <w:szCs w:val="24"/>
          <w:lang w:eastAsia="pl-PL"/>
        </w:rPr>
      </w:r>
    </w:p>
    <w:p>
      <w:pPr>
        <w:pStyle w:val="Default"/>
        <w:jc w:val="both"/>
        <w:rPr>
          <w:rFonts w:eastAsia="Times New Roman"/>
          <w:bCs/>
          <w:sz w:val="23"/>
          <w:szCs w:val="24"/>
          <w:lang w:eastAsia="pl-PL"/>
        </w:rPr>
      </w:pPr>
      <w:r>
        <w:rPr>
          <w:rFonts w:eastAsia="Times New Roman"/>
          <w:bCs/>
          <w:sz w:val="23"/>
          <w:szCs w:val="24"/>
          <w:lang w:eastAsia="pl-PL"/>
        </w:rPr>
      </w:r>
    </w:p>
    <w:p>
      <w:pPr>
        <w:pStyle w:val="Default"/>
        <w:jc w:val="both"/>
        <w:rPr>
          <w:rFonts w:eastAsia="Times New Roman"/>
          <w:bCs/>
          <w:sz w:val="23"/>
          <w:szCs w:val="24"/>
          <w:lang w:eastAsia="pl-PL"/>
        </w:rPr>
      </w:pPr>
      <w:r>
        <w:rPr>
          <w:rFonts w:eastAsia="Times New Roman"/>
          <w:bCs/>
          <w:sz w:val="23"/>
          <w:szCs w:val="24"/>
          <w:lang w:eastAsia="pl-PL"/>
        </w:rPr>
      </w:r>
    </w:p>
    <w:p>
      <w:pPr>
        <w:pStyle w:val="Default"/>
        <w:jc w:val="both"/>
        <w:rPr>
          <w:rFonts w:eastAsia="Times New Roman"/>
          <w:bCs/>
          <w:sz w:val="23"/>
          <w:szCs w:val="24"/>
          <w:lang w:eastAsia="pl-PL"/>
        </w:rPr>
      </w:pPr>
      <w:r>
        <w:rPr>
          <w:rFonts w:eastAsia="Times New Roman"/>
          <w:bCs/>
          <w:sz w:val="23"/>
          <w:szCs w:val="24"/>
          <w:lang w:eastAsia="pl-PL"/>
        </w:rPr>
      </w:r>
    </w:p>
    <w:p>
      <w:pPr>
        <w:pStyle w:val="Default"/>
        <w:jc w:val="both"/>
        <w:rPr>
          <w:rFonts w:eastAsia="Times New Roman"/>
          <w:bCs/>
          <w:sz w:val="23"/>
          <w:szCs w:val="24"/>
          <w:lang w:eastAsia="pl-PL"/>
        </w:rPr>
      </w:pPr>
      <w:r>
        <w:rPr>
          <w:rFonts w:eastAsia="Times New Roman"/>
          <w:bCs/>
          <w:sz w:val="23"/>
          <w:szCs w:val="24"/>
          <w:lang w:eastAsia="pl-PL"/>
        </w:rPr>
      </w:r>
    </w:p>
    <w:p>
      <w:pPr>
        <w:pStyle w:val="Default"/>
        <w:jc w:val="center"/>
        <w:rPr/>
      </w:pPr>
      <w:r>
        <w:rPr>
          <w:rFonts w:eastAsia="Times New Roman"/>
          <w:bCs/>
          <w:sz w:val="23"/>
          <w:szCs w:val="24"/>
          <w:lang w:eastAsia="pl-PL"/>
        </w:rPr>
        <w:tab/>
      </w:r>
      <w:r>
        <w:rPr>
          <w:rFonts w:eastAsia="Times New Roman"/>
          <w:b/>
          <w:bCs/>
          <w:sz w:val="23"/>
          <w:szCs w:val="24"/>
          <w:lang w:eastAsia="pl-PL"/>
        </w:rPr>
        <w:t>§3o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color w:val="000000"/>
        </w:rPr>
        <w:t>Tryb odwoławczy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 lub jego rodzice mogą zgłosić zastrzeżenia do Dyrektora Szkoły, jeżeli uznają,                  że roczna ocena klasyfikacyjna zachowania została ustalona niezgodnie z przepisami prawa dotyczącymi trybu ustalania tej oceny. Zastrzeżenia mogą być zgłoszone w terminie 2 dni od dnia zakończenia zajęć dydaktyczno-wychowawczych. 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szkoły w przypadku stwierdzenia, że roczna ocena klasyfikacyjna zachowania została ustalona niezgodnie z przepisami prawa dotyczącymi trybu ustalania tej oceny, powołuje komisje, która ustala roczną ocenę klasyfikacyjną w drodze głosowania zwykłą większością głosów; w terminie 5 dni o d dnia zgłoszenia zastrzeżeń a, w przypadku równej liczby głosów decyduje głos przewodniczącego komisji.</w:t>
      </w:r>
    </w:p>
    <w:p>
      <w:pPr>
        <w:pStyle w:val="Normal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skład komisji wchodzą: </w:t>
      </w:r>
    </w:p>
    <w:p>
      <w:pPr>
        <w:pStyle w:val="Tretekstu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szkoły albo wyznaczony przez niego nauczyciel – jako przewodniczący komisji;</w:t>
      </w:r>
    </w:p>
    <w:p>
      <w:pPr>
        <w:pStyle w:val="Tretekstu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wychowawca klasy;</w:t>
      </w:r>
    </w:p>
    <w:p>
      <w:pPr>
        <w:pStyle w:val="Tretekstu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wskazany przez dyrektora nauczyciel prowadzący zajęcia edukacyjne w danej klasie;</w:t>
      </w:r>
    </w:p>
    <w:p>
      <w:pPr>
        <w:pStyle w:val="Tretekstu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pedagog;</w:t>
      </w:r>
    </w:p>
    <w:p>
      <w:pPr>
        <w:pStyle w:val="Tretekst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Roczna cena zachowania ucznia ustalona przez komisję jest ostateczna. </w:t>
      </w:r>
    </w:p>
    <w:p>
      <w:pPr>
        <w:pStyle w:val="Tretekstu"/>
        <w:numPr>
          <w:ilvl w:val="0"/>
          <w:numId w:val="2"/>
        </w:numPr>
        <w:spacing w:before="0" w:after="140"/>
        <w:jc w:val="both"/>
        <w:rPr/>
      </w:pPr>
      <w:r>
        <w:rPr>
          <w:rFonts w:ascii="Times New Roman" w:hAnsi="Times New Roman"/>
        </w:rPr>
        <w:t xml:space="preserve">Z prac komisji sporządza się protokół zawierający skład komisji, termin posiedzenia komisji, wynik głosowania, ustaloną ocenę zachowania wraz z uzasadnieniem. Protokół stanowi załącznik do arkusza ocen ucznia.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SimSun" w:cs="Mang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Gwka"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Gwka"/>
    <w:pPr>
      <w:numPr>
        <w:ilvl w:val="1"/>
        <w:numId w:val="1"/>
      </w:numPr>
      <w:spacing w:before="200" w:after="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Gwka"/>
    <w:pPr>
      <w:numPr>
        <w:ilvl w:val="2"/>
        <w:numId w:val="1"/>
      </w:numPr>
      <w:spacing w:before="140" w:after="0"/>
      <w:outlineLvl w:val="2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eastAsia="Times New Roman" w:cs="Times New Roman"/>
    </w:rPr>
  </w:style>
  <w:style w:type="character" w:styleId="ListLabel3">
    <w:name w:val="ListLabel 3"/>
    <w:qFormat/>
    <w:rPr>
      <w:rFonts w:ascii="Times New Roman" w:hAnsi="Times New Roman" w:eastAsia="SimSun" w:cs="Manga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Gwka"/>
    <w:pPr>
      <w:spacing w:before="60" w:after="120"/>
      <w:jc w:val="center"/>
    </w:pPr>
    <w:rPr>
      <w:sz w:val="36"/>
      <w:szCs w:val="36"/>
    </w:rPr>
  </w:style>
  <w:style w:type="paragraph" w:styleId="Default" w:customStyle="1">
    <w:name w:val="Default"/>
    <w:qFormat/>
    <w:pPr>
      <w:widowControl w:val="false"/>
      <w:bidi w:val="0"/>
      <w:spacing w:lineRule="auto" w:line="276"/>
      <w:jc w:val="left"/>
    </w:pPr>
    <w:rPr>
      <w:rFonts w:ascii="Times New Roman" w:hAnsi="Times New Roman" w:eastAsia="Calibri" w:cs="Arial"/>
      <w:color w:val="000000"/>
      <w:sz w:val="24"/>
      <w:szCs w:val="22"/>
      <w:lang w:eastAsia="en-US" w:bidi="ar-SA" w:val="pl-P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b042ea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LibreOffice/5.0.2.2$Windows_X86_64 LibreOffice_project/37b43f919e4de5eeaca9b9755ed688758a8251fe</Application>
  <Paragraphs>320</Paragraphs>
  <Company>Parsęta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2019-02-24T18:18:00Z</dcterms:created>
  <dc:language>pl-PL</dc:language>
  <dcterms:modified xsi:type="dcterms:W3CDTF">2019-02-26T08:29:58Z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Parsęta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