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9E3" w:rsidRDefault="00407255" w:rsidP="00AB59E3">
      <w:pPr>
        <w:jc w:val="both"/>
        <w:rPr>
          <w:rFonts w:ascii="Calibri" w:eastAsia="Calibri" w:hAnsi="Calibri" w:cs="Times New Roman"/>
          <w:noProof/>
          <w:lang w:eastAsia="pl-PL"/>
        </w:rPr>
      </w:pPr>
      <w:r w:rsidRPr="00133EEB">
        <w:rPr>
          <w:rFonts w:ascii="Calibri" w:eastAsia="Calibri" w:hAnsi="Calibri" w:cs="Times New Roman"/>
          <w:noProof/>
          <w:lang w:eastAsia="pl-PL"/>
        </w:rPr>
        <w:t xml:space="preserve">         </w:t>
      </w:r>
      <w:r w:rsidRPr="00054590">
        <w:rPr>
          <w:rFonts w:ascii="Calibri" w:eastAsia="Calibri" w:hAnsi="Calibri" w:cs="Times New Roman"/>
          <w:noProof/>
          <w:lang w:eastAsia="pl-PL"/>
        </w:rPr>
        <w:t xml:space="preserve">                       </w:t>
      </w:r>
      <w:r w:rsidR="00AB59E3">
        <w:rPr>
          <w:rFonts w:ascii="Calibri" w:eastAsia="Calibri" w:hAnsi="Calibri" w:cs="Times New Roman"/>
          <w:noProof/>
          <w:lang w:eastAsia="pl-PL"/>
        </w:rPr>
        <w:t xml:space="preserve">                           </w:t>
      </w:r>
    </w:p>
    <w:p w:rsidR="00920B4E" w:rsidRPr="005E5D01" w:rsidRDefault="00920B4E" w:rsidP="00AB59E3">
      <w:pPr>
        <w:jc w:val="both"/>
        <w:rPr>
          <w:rFonts w:ascii="Times New Roman" w:hAnsi="Times New Roman" w:cs="Times New Roman"/>
          <w:sz w:val="24"/>
          <w:szCs w:val="24"/>
        </w:rPr>
      </w:pPr>
      <w:r w:rsidRPr="005E5D01">
        <w:rPr>
          <w:rFonts w:ascii="Times New Roman" w:hAnsi="Times New Roman" w:cs="Times New Roman"/>
          <w:b/>
          <w:color w:val="C00000"/>
          <w:sz w:val="24"/>
          <w:szCs w:val="24"/>
        </w:rPr>
        <w:t>Zasada równości szans kobiet i mężczyzn jest w przypadku funduszy unijnych jedną z naczelnych i podstawowych zasad horyzontalnych, obowiązujących w całej UE.</w:t>
      </w:r>
      <w:r w:rsidRPr="005E5D01">
        <w:rPr>
          <w:rFonts w:ascii="Times New Roman" w:hAnsi="Times New Roman" w:cs="Times New Roman"/>
          <w:color w:val="C00000"/>
          <w:sz w:val="24"/>
          <w:szCs w:val="24"/>
        </w:rPr>
        <w:br/>
      </w:r>
      <w:r w:rsidRPr="005E5D01">
        <w:rPr>
          <w:rFonts w:ascii="Times New Roman" w:hAnsi="Times New Roman" w:cs="Times New Roman"/>
          <w:sz w:val="24"/>
          <w:szCs w:val="24"/>
        </w:rPr>
        <w:t>Ma ona swoją podstawę prawną w art. 3 Traktatu o Unii Europejskiej, który wskazuje że UE zwalcza wykluczenie społeczne i dyskryminację oraz wspiera sprawiedliwość społeczną i ochronę socjalną, równość kobiet i mężczyzn, solidarność między pokoleniami oraz ochronę praw dziecka. Kwestia równości szans kobiet i mężczyzn została również uregulowana na gruncie prawa polskiego, przede wszystkim w Konstytucji Rzeczypospolitej Polskiej, której art. 33 stanowi, że: Kobieta i mężczyzna w Rzeczypospolitej Polskiej mają równe prawa w życiu rodzinnym.</w:t>
      </w:r>
    </w:p>
    <w:p w:rsidR="00920B4E" w:rsidRPr="005E5D01" w:rsidRDefault="00920B4E" w:rsidP="00920B4E">
      <w:pPr>
        <w:jc w:val="both"/>
        <w:rPr>
          <w:rFonts w:ascii="Times New Roman" w:hAnsi="Times New Roman" w:cs="Times New Roman"/>
          <w:sz w:val="24"/>
          <w:szCs w:val="24"/>
        </w:rPr>
      </w:pPr>
      <w:r w:rsidRPr="005E5D01">
        <w:rPr>
          <w:rFonts w:ascii="Times New Roman" w:hAnsi="Times New Roman" w:cs="Times New Roman"/>
          <w:sz w:val="24"/>
          <w:szCs w:val="24"/>
        </w:rPr>
        <w:t xml:space="preserve"> Kobieta i mężczyzna mają w szczególności równe prawo do kształcenia, zatrudnienia i awansów, do jednakowego wynagradzania za pracę jednakowej wartości, do zabezpieczenia społecznego oraz do zajmowania stanowisk, pełnienia funkcji oraz uzyskiwania godności publicznych i odznaczeń. </w:t>
      </w:r>
    </w:p>
    <w:p w:rsidR="00920B4E" w:rsidRPr="005E5D01" w:rsidRDefault="00920B4E" w:rsidP="00920B4E">
      <w:pPr>
        <w:jc w:val="both"/>
        <w:rPr>
          <w:rFonts w:ascii="Times New Roman" w:hAnsi="Times New Roman" w:cs="Times New Roman"/>
          <w:sz w:val="24"/>
          <w:szCs w:val="24"/>
        </w:rPr>
      </w:pPr>
      <w:r w:rsidRPr="005E5D01">
        <w:rPr>
          <w:rFonts w:ascii="Times New Roman" w:hAnsi="Times New Roman" w:cs="Times New Roman"/>
          <w:sz w:val="24"/>
          <w:szCs w:val="24"/>
        </w:rPr>
        <w:t xml:space="preserve">Troska o przestrzeganie zasady równości szans kobiet i mężczyzn oprócz obowiązku prawnego, wynikającego z przepisów Konstytucji Rzeczypospolitej Polskiej, Traktatu o Unii Europejskiej i innych, powiązanych z nim dokumentów UE, przynosi również realne i rzeczywiste korzyści  </w:t>
      </w:r>
      <w:r>
        <w:rPr>
          <w:rFonts w:ascii="Times New Roman" w:hAnsi="Times New Roman" w:cs="Times New Roman"/>
          <w:sz w:val="24"/>
          <w:szCs w:val="24"/>
        </w:rPr>
        <w:t xml:space="preserve">ekonomiczno </w:t>
      </w:r>
      <w:r w:rsidRPr="005E5D01">
        <w:rPr>
          <w:rFonts w:ascii="Times New Roman" w:hAnsi="Times New Roman" w:cs="Times New Roman"/>
          <w:sz w:val="24"/>
          <w:szCs w:val="24"/>
        </w:rPr>
        <w:t xml:space="preserve">– społeczne, a także jest niezbędnym warunkiem realizacji celów strategicznych Strategii Europa 2020, dotyczących stworzenia trwałego wzrostu gospodarczego i rozwoju społeczeństwa zwłaszcza w kontekście wyrównywania wskaźnika zatrudnienia kobiet i mężczyzn. </w:t>
      </w:r>
    </w:p>
    <w:p w:rsidR="00920B4E" w:rsidRPr="005E5D01" w:rsidRDefault="00920B4E" w:rsidP="00920B4E">
      <w:pPr>
        <w:jc w:val="both"/>
        <w:rPr>
          <w:rFonts w:ascii="Times New Roman" w:hAnsi="Times New Roman" w:cs="Times New Roman"/>
          <w:sz w:val="24"/>
          <w:szCs w:val="24"/>
        </w:rPr>
      </w:pPr>
      <w:r w:rsidRPr="005E5D01">
        <w:rPr>
          <w:rFonts w:ascii="Times New Roman" w:hAnsi="Times New Roman" w:cs="Times New Roman"/>
          <w:sz w:val="24"/>
          <w:szCs w:val="24"/>
        </w:rPr>
        <w:t xml:space="preserve"> Zasada równości szans i niedyskryminacji, w tym dostępności dla osób z niepełnosprawnościami, a także zasada równości szans kobiet i mężczyzn, ze względu na swój charakter, w głównej mierze są realizowane w ramach PO współfinansowanych z EFS. Nie oznacza to jednak, że automatycznie pozostałe fundusze są neutralne wobec tych zasad. W związku z horyzontalnym charakterem przedmiotowych zasad wszystkie PO realizowane w ramach funduszy polityki spójności powinny zaplanować mechanizmy pozwalające na przeciwdziałanie wszelkim formom dyskryminacji, w tym dyskryminacji ze względu na niepełnosprawność i płeć. </w:t>
      </w:r>
    </w:p>
    <w:p w:rsidR="00920B4E" w:rsidRPr="005E5D01" w:rsidRDefault="00920B4E" w:rsidP="00920B4E">
      <w:pPr>
        <w:jc w:val="both"/>
        <w:rPr>
          <w:rFonts w:ascii="Times New Roman" w:hAnsi="Times New Roman" w:cs="Times New Roman"/>
          <w:b/>
          <w:color w:val="C00000"/>
          <w:sz w:val="24"/>
          <w:szCs w:val="24"/>
        </w:rPr>
      </w:pPr>
      <w:r w:rsidRPr="005E5D01">
        <w:rPr>
          <w:rFonts w:ascii="Times New Roman" w:hAnsi="Times New Roman" w:cs="Times New Roman"/>
          <w:b/>
          <w:color w:val="C00000"/>
          <w:sz w:val="24"/>
          <w:szCs w:val="24"/>
        </w:rPr>
        <w:t>Zasada równości szans i niedyskryminacji</w:t>
      </w:r>
      <w:r w:rsidRPr="005E5D01">
        <w:rPr>
          <w:rFonts w:ascii="Times New Roman" w:hAnsi="Times New Roman" w:cs="Times New Roman"/>
          <w:color w:val="C00000"/>
          <w:sz w:val="24"/>
          <w:szCs w:val="24"/>
        </w:rPr>
        <w:t xml:space="preserve"> – </w:t>
      </w:r>
      <w:r w:rsidRPr="005E5D01">
        <w:rPr>
          <w:rFonts w:ascii="Times New Roman" w:hAnsi="Times New Roman" w:cs="Times New Roman"/>
          <w:b/>
          <w:color w:val="C00000"/>
          <w:sz w:val="24"/>
          <w:szCs w:val="24"/>
        </w:rPr>
        <w:t>umożliwienie wszystkim osobom – bez względu na płeć, wiek, niepełnosprawność, rasę lub pochodzenie etniczne, wyznawaną religię lub światopogląd, orientację seksualną – sprawiedliwego, pełnego uczestnictwa we wszystkich dziedzinach życia na jednakowych zasadach.</w:t>
      </w:r>
    </w:p>
    <w:p w:rsidR="00920B4E" w:rsidRPr="005E5D01" w:rsidRDefault="00920B4E" w:rsidP="00920B4E">
      <w:pPr>
        <w:jc w:val="both"/>
        <w:rPr>
          <w:rFonts w:ascii="Times New Roman" w:hAnsi="Times New Roman" w:cs="Times New Roman"/>
          <w:sz w:val="24"/>
          <w:szCs w:val="24"/>
        </w:rPr>
      </w:pPr>
      <w:r w:rsidRPr="005E5D01">
        <w:rPr>
          <w:rFonts w:ascii="Times New Roman" w:hAnsi="Times New Roman" w:cs="Times New Roman"/>
          <w:b/>
          <w:color w:val="403152" w:themeColor="accent4" w:themeShade="80"/>
          <w:sz w:val="24"/>
          <w:szCs w:val="24"/>
        </w:rPr>
        <w:t>Dyskryminacja</w:t>
      </w:r>
      <w:r w:rsidRPr="005E5D01">
        <w:rPr>
          <w:rFonts w:ascii="Times New Roman" w:hAnsi="Times New Roman" w:cs="Times New Roman"/>
          <w:sz w:val="24"/>
          <w:szCs w:val="24"/>
        </w:rPr>
        <w:t xml:space="preserve"> – jakiekolwiek różnicowanie, wykluczanie lub ograniczanie ze względu na jakiekolwiek przesłanki (np. wiek, niepełnosprawność, płeć, rasę, orientację seksualną, pochodzenie etniczne, religię lub światopogląd itp.), którego celem lub skutkiem jest naruszenie lub zniweczenie uznania, korzystania lub wykonywania wszelkich praw człowieka i podstawowych wolności w dziedzinie polityki, gospodarki, społecznej, kulturalnej, </w:t>
      </w:r>
      <w:r w:rsidRPr="005E5D01">
        <w:rPr>
          <w:rFonts w:ascii="Times New Roman" w:hAnsi="Times New Roman" w:cs="Times New Roman"/>
          <w:sz w:val="24"/>
          <w:szCs w:val="24"/>
        </w:rPr>
        <w:lastRenderedPageBreak/>
        <w:t>obywatelskiej lub w jakiejkolwiek innej, na zasadzie równości z innymi osobami. Wyróżnia się różne rodzaje dyskryminacji, m.in. pośrednią, bezpośrednią, wielokrotną, w tym krzyżową, indywidualną, instytucjonalną, strukturalną.</w:t>
      </w:r>
    </w:p>
    <w:p w:rsidR="00920B4E" w:rsidRDefault="00920B4E" w:rsidP="00920B4E">
      <w:pPr>
        <w:spacing w:after="0" w:line="240" w:lineRule="auto"/>
        <w:jc w:val="both"/>
        <w:rPr>
          <w:rFonts w:ascii="Times New Roman" w:hAnsi="Times New Roman" w:cs="Times New Roman"/>
          <w:b/>
          <w:color w:val="403152" w:themeColor="accent4" w:themeShade="80"/>
          <w:sz w:val="24"/>
          <w:szCs w:val="24"/>
        </w:rPr>
      </w:pPr>
      <w:r w:rsidRPr="005E5D01">
        <w:rPr>
          <w:rFonts w:ascii="Times New Roman" w:hAnsi="Times New Roman" w:cs="Times New Roman"/>
          <w:b/>
          <w:color w:val="403152" w:themeColor="accent4" w:themeShade="80"/>
          <w:sz w:val="24"/>
          <w:szCs w:val="24"/>
        </w:rPr>
        <w:t>Język łatwy</w:t>
      </w:r>
      <w:r w:rsidRPr="005E5D01">
        <w:rPr>
          <w:rFonts w:ascii="Times New Roman" w:hAnsi="Times New Roman" w:cs="Times New Roman"/>
          <w:color w:val="403152" w:themeColor="accent4" w:themeShade="80"/>
          <w:sz w:val="24"/>
          <w:szCs w:val="24"/>
        </w:rPr>
        <w:t xml:space="preserve"> </w:t>
      </w:r>
      <w:r w:rsidRPr="005E5D01">
        <w:rPr>
          <w:rFonts w:ascii="Times New Roman" w:hAnsi="Times New Roman" w:cs="Times New Roman"/>
          <w:sz w:val="24"/>
          <w:szCs w:val="24"/>
        </w:rPr>
        <w:t xml:space="preserve">– sposób prezentowania informacji w sposób przystępny dla odbiorców o różnorodnych potrzebach. To język łatwy do czytania i zrozumienia, prosty w treści i formie. Ma zastosowanie do różnych rodzajów informacji: pisanej (w tym do ilustracji), elektronicznej, video i audio oraz do różnych kategorii odbiorców (np. osób </w:t>
      </w:r>
      <w:r>
        <w:rPr>
          <w:rFonts w:ascii="Times New Roman" w:hAnsi="Times New Roman" w:cs="Times New Roman"/>
          <w:sz w:val="24"/>
          <w:szCs w:val="24"/>
        </w:rPr>
        <w:br/>
      </w:r>
      <w:r w:rsidRPr="005E5D01">
        <w:rPr>
          <w:rFonts w:ascii="Times New Roman" w:hAnsi="Times New Roman" w:cs="Times New Roman"/>
          <w:sz w:val="24"/>
          <w:szCs w:val="24"/>
        </w:rPr>
        <w:t>niedowidzącyc</w:t>
      </w:r>
      <w:r>
        <w:rPr>
          <w:rFonts w:ascii="Times New Roman" w:hAnsi="Times New Roman" w:cs="Times New Roman"/>
          <w:sz w:val="24"/>
          <w:szCs w:val="24"/>
        </w:rPr>
        <w:t xml:space="preserve">h, </w:t>
      </w:r>
      <w:r w:rsidRPr="005E5D01">
        <w:rPr>
          <w:rFonts w:ascii="Times New Roman" w:hAnsi="Times New Roman" w:cs="Times New Roman"/>
          <w:sz w:val="24"/>
          <w:szCs w:val="24"/>
        </w:rPr>
        <w:t>osób niedosłyszących, osób z</w:t>
      </w:r>
      <w:r>
        <w:rPr>
          <w:rFonts w:ascii="Times New Roman" w:hAnsi="Times New Roman" w:cs="Times New Roman"/>
          <w:sz w:val="24"/>
          <w:szCs w:val="24"/>
        </w:rPr>
        <w:t xml:space="preserve"> </w:t>
      </w:r>
      <w:r w:rsidRPr="005E5D01">
        <w:rPr>
          <w:rFonts w:ascii="Times New Roman" w:hAnsi="Times New Roman" w:cs="Times New Roman"/>
          <w:sz w:val="24"/>
          <w:szCs w:val="24"/>
        </w:rPr>
        <w:t>niepełnosprawnością intelektualną</w:t>
      </w:r>
      <w:r>
        <w:rPr>
          <w:rFonts w:ascii="Times New Roman" w:hAnsi="Times New Roman" w:cs="Times New Roman"/>
          <w:sz w:val="24"/>
          <w:szCs w:val="24"/>
        </w:rPr>
        <w:t xml:space="preserve">).    </w:t>
      </w:r>
      <w:r w:rsidRPr="005E5D01">
        <w:rPr>
          <w:rFonts w:ascii="Times New Roman" w:hAnsi="Times New Roman" w:cs="Times New Roman"/>
          <w:sz w:val="24"/>
          <w:szCs w:val="24"/>
        </w:rPr>
        <w:t xml:space="preserve"> </w:t>
      </w:r>
      <w:r w:rsidRPr="005E5D01">
        <w:rPr>
          <w:rFonts w:ascii="Times New Roman" w:hAnsi="Times New Roman" w:cs="Times New Roman"/>
          <w:sz w:val="24"/>
          <w:szCs w:val="24"/>
        </w:rPr>
        <w:br/>
      </w:r>
    </w:p>
    <w:p w:rsidR="00920B4E" w:rsidRPr="005E5D01" w:rsidRDefault="00920B4E" w:rsidP="00920B4E">
      <w:pPr>
        <w:spacing w:after="0" w:line="240" w:lineRule="auto"/>
        <w:jc w:val="both"/>
        <w:rPr>
          <w:rFonts w:ascii="Times New Roman" w:hAnsi="Times New Roman" w:cs="Times New Roman"/>
          <w:sz w:val="24"/>
          <w:szCs w:val="24"/>
        </w:rPr>
      </w:pPr>
      <w:r w:rsidRPr="005E5D01">
        <w:rPr>
          <w:rFonts w:ascii="Times New Roman" w:hAnsi="Times New Roman" w:cs="Times New Roman"/>
          <w:b/>
          <w:color w:val="0F243E" w:themeColor="text2" w:themeShade="80"/>
          <w:sz w:val="24"/>
          <w:szCs w:val="24"/>
        </w:rPr>
        <w:t xml:space="preserve">W realizowanym projekcie pn. </w:t>
      </w:r>
      <w:r w:rsidR="007328CA">
        <w:rPr>
          <w:rFonts w:ascii="Times New Roman" w:hAnsi="Times New Roman" w:cs="Times New Roman"/>
          <w:b/>
          <w:color w:val="0F243E" w:themeColor="text2" w:themeShade="80"/>
          <w:sz w:val="24"/>
          <w:szCs w:val="24"/>
        </w:rPr>
        <w:t>Nowe Przedszkole w Pomykowie</w:t>
      </w:r>
      <w:r w:rsidRPr="005E5D01">
        <w:rPr>
          <w:rFonts w:ascii="Times New Roman" w:hAnsi="Times New Roman" w:cs="Times New Roman"/>
          <w:b/>
          <w:color w:val="0F243E" w:themeColor="text2" w:themeShade="80"/>
          <w:sz w:val="24"/>
          <w:szCs w:val="24"/>
        </w:rPr>
        <w:t xml:space="preserve">, </w:t>
      </w:r>
      <w:r w:rsidRPr="005E5D01">
        <w:rPr>
          <w:rFonts w:ascii="Times New Roman" w:hAnsi="Times New Roman" w:cs="Times New Roman"/>
          <w:sz w:val="24"/>
          <w:szCs w:val="24"/>
        </w:rPr>
        <w:t xml:space="preserve">sposób przekazu  i treści programowe </w:t>
      </w:r>
      <w:r>
        <w:rPr>
          <w:rFonts w:ascii="Times New Roman" w:hAnsi="Times New Roman" w:cs="Times New Roman"/>
          <w:sz w:val="24"/>
          <w:szCs w:val="24"/>
        </w:rPr>
        <w:t>są</w:t>
      </w:r>
      <w:r w:rsidRPr="005E5D01">
        <w:rPr>
          <w:rFonts w:ascii="Times New Roman" w:hAnsi="Times New Roman" w:cs="Times New Roman"/>
          <w:sz w:val="24"/>
          <w:szCs w:val="24"/>
        </w:rPr>
        <w:t xml:space="preserve"> dobrane tak, aby były odpowiednie do wieku i możliwości intelektualnych dzieci oraz   służyły  kształtowaniu u nich poczucia równości, tolerancji</w:t>
      </w:r>
      <w:r>
        <w:rPr>
          <w:rFonts w:ascii="Times New Roman" w:hAnsi="Times New Roman" w:cs="Times New Roman"/>
          <w:sz w:val="24"/>
          <w:szCs w:val="24"/>
        </w:rPr>
        <w:br/>
      </w:r>
      <w:r w:rsidRPr="005E5D01">
        <w:rPr>
          <w:rFonts w:ascii="Times New Roman" w:hAnsi="Times New Roman" w:cs="Times New Roman"/>
          <w:sz w:val="24"/>
          <w:szCs w:val="24"/>
        </w:rPr>
        <w:t xml:space="preserve"> i szacunku do odmienności.</w:t>
      </w:r>
    </w:p>
    <w:p w:rsidR="00920B4E" w:rsidRDefault="00920B4E" w:rsidP="00920B4E">
      <w:pPr>
        <w:jc w:val="both"/>
        <w:rPr>
          <w:rFonts w:ascii="Times New Roman" w:hAnsi="Times New Roman" w:cs="Times New Roman"/>
          <w:sz w:val="24"/>
          <w:szCs w:val="24"/>
        </w:rPr>
      </w:pPr>
    </w:p>
    <w:p w:rsidR="00920B4E" w:rsidRDefault="00920B4E" w:rsidP="00920B4E">
      <w:pPr>
        <w:jc w:val="both"/>
        <w:rPr>
          <w:rFonts w:ascii="Times New Roman" w:hAnsi="Times New Roman" w:cs="Times New Roman"/>
          <w:sz w:val="24"/>
          <w:szCs w:val="24"/>
        </w:rPr>
      </w:pPr>
      <w:r w:rsidRPr="00CF0FBE">
        <w:rPr>
          <w:rFonts w:ascii="Times New Roman" w:hAnsi="Times New Roman" w:cs="Times New Roman"/>
          <w:b/>
          <w:color w:val="0F243E" w:themeColor="text2" w:themeShade="80"/>
          <w:sz w:val="24"/>
          <w:szCs w:val="24"/>
        </w:rPr>
        <w:t>Zasada równości szans kobiet i mężczyzn</w:t>
      </w:r>
      <w:r w:rsidRPr="00CF0FBE">
        <w:rPr>
          <w:rFonts w:ascii="Times New Roman" w:hAnsi="Times New Roman" w:cs="Times New Roman"/>
          <w:color w:val="0F243E" w:themeColor="text2" w:themeShade="80"/>
          <w:sz w:val="24"/>
          <w:szCs w:val="24"/>
        </w:rPr>
        <w:t xml:space="preserve"> </w:t>
      </w:r>
      <w:r w:rsidRPr="005E5D01">
        <w:rPr>
          <w:rFonts w:ascii="Times New Roman" w:hAnsi="Times New Roman" w:cs="Times New Roman"/>
          <w:sz w:val="24"/>
          <w:szCs w:val="24"/>
        </w:rPr>
        <w:t>ma prowadzić do podejmowania działań na rzecz osiągnięcia stanu, w którym kobietom i mężczyznom przypisuje się taką samą wartość społeczną, równe prawa i równe obowiązki</w:t>
      </w:r>
      <w:r>
        <w:rPr>
          <w:rFonts w:ascii="Times New Roman" w:hAnsi="Times New Roman" w:cs="Times New Roman"/>
          <w:sz w:val="24"/>
          <w:szCs w:val="24"/>
        </w:rPr>
        <w:t>, gdy</w:t>
      </w:r>
      <w:r w:rsidRPr="005E5D01">
        <w:rPr>
          <w:rFonts w:ascii="Times New Roman" w:hAnsi="Times New Roman" w:cs="Times New Roman"/>
          <w:sz w:val="24"/>
          <w:szCs w:val="24"/>
        </w:rPr>
        <w:t xml:space="preserve"> mają oni równy dostęp do zasobów (środki finansowe, szanse rozwoju), z których mogą korzystać. Zasada ta ma gwarantować możliwość wyboru drogi życiowej bez ograniczeń wynikających ze stereotypów płci. </w:t>
      </w:r>
    </w:p>
    <w:p w:rsidR="00920B4E" w:rsidRPr="005E5D01" w:rsidRDefault="00920B4E" w:rsidP="00920B4E">
      <w:pPr>
        <w:jc w:val="both"/>
        <w:rPr>
          <w:rFonts w:ascii="Times New Roman" w:hAnsi="Times New Roman" w:cs="Times New Roman"/>
          <w:sz w:val="24"/>
          <w:szCs w:val="24"/>
        </w:rPr>
      </w:pPr>
      <w:r w:rsidRPr="00CF0FBE">
        <w:rPr>
          <w:rFonts w:ascii="Times New Roman" w:hAnsi="Times New Roman" w:cs="Times New Roman"/>
          <w:b/>
          <w:color w:val="0F243E" w:themeColor="text2" w:themeShade="80"/>
          <w:sz w:val="24"/>
          <w:szCs w:val="24"/>
        </w:rPr>
        <w:t>Osoby z niepełnosprawnościami</w:t>
      </w:r>
      <w:r w:rsidRPr="00CF0FBE">
        <w:rPr>
          <w:rFonts w:ascii="Times New Roman" w:hAnsi="Times New Roman" w:cs="Times New Roman"/>
          <w:color w:val="0F243E" w:themeColor="text2" w:themeShade="80"/>
          <w:sz w:val="24"/>
          <w:szCs w:val="24"/>
        </w:rPr>
        <w:t xml:space="preserve"> </w:t>
      </w:r>
      <w:r w:rsidRPr="005E5D01">
        <w:rPr>
          <w:rFonts w:ascii="Times New Roman" w:hAnsi="Times New Roman" w:cs="Times New Roman"/>
          <w:sz w:val="24"/>
          <w:szCs w:val="24"/>
        </w:rPr>
        <w:t>to w takim samym stopniu jak osoby pełnosprawne konsumenci i niezależni obywatele posiadający prawa i obowiązki, zdolni podejmować ważne decyzje i ponosić odpowiedzialność za sprawy, które ich dotyczą. Należy więc skupić się na umożliwieniu udziału osób z niepełnosprawnościami w życiu społecznym, a także wyeliminowaniu wszelkich podziałów (np. w edukacji, zatrudnieniu). Osoby z niepełnosprawnościami stanowią bowiem niewykorzystany potencjał polskiej gospodarki. Są to w większości osoby z możliwościami i dużą motywacją do pracy. Budowanie przyjaznego i dostępnego środowiska może więc przynieść korzyści (również ekonomiczne) wszystkim, nie tylko osobom z niepełnosprawnościami.</w:t>
      </w:r>
    </w:p>
    <w:p w:rsidR="00920B4E" w:rsidRDefault="00054590" w:rsidP="00054590">
      <w:pPr>
        <w:spacing w:after="0" w:line="240" w:lineRule="auto"/>
        <w:rPr>
          <w:rFonts w:ascii="Times New Roman" w:hAnsi="Times New Roman" w:cs="Times New Roman"/>
          <w:b/>
          <w:sz w:val="24"/>
          <w:szCs w:val="24"/>
        </w:rPr>
      </w:pPr>
      <w:r>
        <w:rPr>
          <w:rFonts w:ascii="Times New Roman" w:hAnsi="Times New Roman" w:cs="Times New Roman"/>
          <w:b/>
          <w:sz w:val="24"/>
          <w:szCs w:val="24"/>
        </w:rPr>
        <w:t>Źródło:</w:t>
      </w:r>
    </w:p>
    <w:p w:rsidR="00054590" w:rsidRPr="00054590" w:rsidRDefault="00054590" w:rsidP="00054590">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JAK REALIZOWAĆ ZASADĘ </w:t>
      </w:r>
      <w:r w:rsidRPr="00054590">
        <w:rPr>
          <w:rFonts w:ascii="Times New Roman" w:hAnsi="Times New Roman" w:cs="Times New Roman"/>
          <w:b/>
          <w:bCs/>
        </w:rPr>
        <w:t>RÓWNOŚCI SZANS KOBIET I MĘŻCZYZN</w:t>
      </w:r>
    </w:p>
    <w:p w:rsidR="00054590" w:rsidRPr="00054590" w:rsidRDefault="00054590" w:rsidP="00054590">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W PROJEKTACH FINANSOWANYCH </w:t>
      </w:r>
      <w:r w:rsidRPr="00054590">
        <w:rPr>
          <w:rFonts w:ascii="Times New Roman" w:hAnsi="Times New Roman" w:cs="Times New Roman"/>
          <w:b/>
          <w:bCs/>
        </w:rPr>
        <w:t>Z FUNDUSZY EUROPEJSKICH 2014-2020</w:t>
      </w:r>
    </w:p>
    <w:p w:rsidR="00054590" w:rsidRPr="00054590" w:rsidRDefault="00054590" w:rsidP="00054590">
      <w:pPr>
        <w:spacing w:after="0" w:line="240" w:lineRule="auto"/>
        <w:rPr>
          <w:rFonts w:ascii="Times New Roman" w:hAnsi="Times New Roman" w:cs="Times New Roman"/>
          <w:b/>
        </w:rPr>
      </w:pPr>
      <w:r w:rsidRPr="00054590">
        <w:rPr>
          <w:rFonts w:ascii="Times New Roman" w:hAnsi="Times New Roman" w:cs="Times New Roman"/>
        </w:rPr>
        <w:t>Poradnik dla osób realizujących projekty oraz instytucji systemu wdrażania</w:t>
      </w:r>
      <w:r>
        <w:rPr>
          <w:rFonts w:ascii="Times New Roman" w:hAnsi="Times New Roman" w:cs="Times New Roman"/>
        </w:rPr>
        <w:t>.</w:t>
      </w:r>
    </w:p>
    <w:p w:rsidR="00054590" w:rsidRPr="00054590" w:rsidRDefault="00054590" w:rsidP="00054590">
      <w:pPr>
        <w:spacing w:after="0" w:line="240" w:lineRule="auto"/>
        <w:rPr>
          <w:rFonts w:ascii="Times New Roman" w:hAnsi="Times New Roman" w:cs="Times New Roman"/>
          <w:b/>
        </w:rPr>
      </w:pPr>
    </w:p>
    <w:sectPr w:rsidR="00054590" w:rsidRPr="00054590" w:rsidSect="0040725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E8B" w:rsidRDefault="00224E8B" w:rsidP="00AB59E3">
      <w:pPr>
        <w:spacing w:after="0" w:line="240" w:lineRule="auto"/>
      </w:pPr>
      <w:r>
        <w:separator/>
      </w:r>
    </w:p>
  </w:endnote>
  <w:endnote w:type="continuationSeparator" w:id="0">
    <w:p w:rsidR="00224E8B" w:rsidRDefault="00224E8B" w:rsidP="00AB5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78" w:rsidRDefault="00CC227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499242"/>
      <w:docPartObj>
        <w:docPartGallery w:val="Page Numbers (Bottom of Page)"/>
        <w:docPartUnique/>
      </w:docPartObj>
    </w:sdtPr>
    <w:sdtContent>
      <w:bookmarkStart w:id="0" w:name="_GoBack" w:displacedByCustomXml="prev"/>
      <w:bookmarkEnd w:id="0" w:displacedByCustomXml="prev"/>
      <w:p w:rsidR="00CC2278" w:rsidRDefault="00CC2278">
        <w:pPr>
          <w:pStyle w:val="Stopka"/>
          <w:jc w:val="right"/>
        </w:pPr>
        <w:r>
          <w:fldChar w:fldCharType="begin"/>
        </w:r>
        <w:r>
          <w:instrText>PAGE   \* MERGEFORMAT</w:instrText>
        </w:r>
        <w:r>
          <w:fldChar w:fldCharType="separate"/>
        </w:r>
        <w:r>
          <w:rPr>
            <w:noProof/>
          </w:rPr>
          <w:t>1</w:t>
        </w:r>
        <w:r>
          <w:fldChar w:fldCharType="end"/>
        </w:r>
      </w:p>
    </w:sdtContent>
  </w:sdt>
  <w:p w:rsidR="00CC2278" w:rsidRDefault="00CC227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78" w:rsidRDefault="00CC22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E8B" w:rsidRDefault="00224E8B" w:rsidP="00AB59E3">
      <w:pPr>
        <w:spacing w:after="0" w:line="240" w:lineRule="auto"/>
      </w:pPr>
      <w:r>
        <w:separator/>
      </w:r>
    </w:p>
  </w:footnote>
  <w:footnote w:type="continuationSeparator" w:id="0">
    <w:p w:rsidR="00224E8B" w:rsidRDefault="00224E8B" w:rsidP="00AB5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78" w:rsidRDefault="00CC227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3" w:type="pct"/>
      <w:tblInd w:w="-1" w:type="dxa"/>
      <w:tblCellMar>
        <w:left w:w="0" w:type="dxa"/>
        <w:right w:w="0" w:type="dxa"/>
      </w:tblCellMar>
      <w:tblLook w:val="04A0" w:firstRow="1" w:lastRow="0" w:firstColumn="1" w:lastColumn="0" w:noHBand="0" w:noVBand="1"/>
    </w:tblPr>
    <w:tblGrid>
      <w:gridCol w:w="1838"/>
      <w:gridCol w:w="2683"/>
      <w:gridCol w:w="2050"/>
      <w:gridCol w:w="2470"/>
    </w:tblGrid>
    <w:tr w:rsidR="00AB59E3" w:rsidRPr="00CA6E8C" w:rsidTr="00646180">
      <w:trPr>
        <w:trHeight w:val="768"/>
      </w:trPr>
      <w:tc>
        <w:tcPr>
          <w:tcW w:w="1016" w:type="pct"/>
          <w:tcMar>
            <w:left w:w="0" w:type="dxa"/>
            <w:right w:w="0" w:type="dxa"/>
          </w:tcMar>
        </w:tcPr>
        <w:p w:rsidR="00AB59E3" w:rsidRPr="00CA6E8C" w:rsidRDefault="00AB59E3" w:rsidP="00646180">
          <w:pPr>
            <w:spacing w:after="160" w:line="259" w:lineRule="auto"/>
            <w:ind w:right="-427"/>
            <w:rPr>
              <w:noProof/>
              <w:lang w:eastAsia="pl-PL"/>
            </w:rPr>
          </w:pPr>
          <w:r w:rsidRPr="00CA6E8C">
            <w:rPr>
              <w:noProof/>
              <w:lang w:eastAsia="pl-PL"/>
            </w:rPr>
            <w:drawing>
              <wp:inline distT="0" distB="0" distL="0" distR="0" wp14:anchorId="0AB58EE8" wp14:editId="72380C68">
                <wp:extent cx="1026795" cy="440055"/>
                <wp:effectExtent l="19050" t="0" r="1905" b="0"/>
                <wp:docPr id="4"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srcRect/>
                        <a:stretch>
                          <a:fillRect/>
                        </a:stretch>
                      </pic:blipFill>
                      <pic:spPr bwMode="auto">
                        <a:xfrm>
                          <a:off x="0" y="0"/>
                          <a:ext cx="1026795" cy="440055"/>
                        </a:xfrm>
                        <a:prstGeom prst="rect">
                          <a:avLst/>
                        </a:prstGeom>
                        <a:noFill/>
                        <a:ln w="9525">
                          <a:noFill/>
                          <a:miter lim="800000"/>
                          <a:headEnd/>
                          <a:tailEnd/>
                        </a:ln>
                      </pic:spPr>
                    </pic:pic>
                  </a:graphicData>
                </a:graphic>
              </wp:inline>
            </w:drawing>
          </w:r>
        </w:p>
      </w:tc>
      <w:tc>
        <w:tcPr>
          <w:tcW w:w="1484" w:type="pct"/>
          <w:tcMar>
            <w:left w:w="0" w:type="dxa"/>
            <w:right w:w="0" w:type="dxa"/>
          </w:tcMar>
        </w:tcPr>
        <w:p w:rsidR="00AB59E3" w:rsidRPr="00CA6E8C" w:rsidRDefault="00AB59E3" w:rsidP="00646180">
          <w:pPr>
            <w:spacing w:after="160" w:line="259" w:lineRule="auto"/>
            <w:ind w:right="-427"/>
            <w:rPr>
              <w:noProof/>
              <w:lang w:eastAsia="pl-PL"/>
            </w:rPr>
          </w:pPr>
          <w:r w:rsidRPr="00CA6E8C">
            <w:rPr>
              <w:noProof/>
              <w:lang w:eastAsia="pl-PL"/>
            </w:rPr>
            <w:drawing>
              <wp:inline distT="0" distB="0" distL="0" distR="0" wp14:anchorId="6B40DF79" wp14:editId="32CA222A">
                <wp:extent cx="1414780" cy="440055"/>
                <wp:effectExtent l="19050" t="0" r="0" b="0"/>
                <wp:docPr id="9"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srcRect/>
                        <a:stretch>
                          <a:fillRect/>
                        </a:stretch>
                      </pic:blipFill>
                      <pic:spPr bwMode="auto">
                        <a:xfrm>
                          <a:off x="0" y="0"/>
                          <a:ext cx="1414780" cy="440055"/>
                        </a:xfrm>
                        <a:prstGeom prst="rect">
                          <a:avLst/>
                        </a:prstGeom>
                        <a:noFill/>
                        <a:ln w="9525">
                          <a:noFill/>
                          <a:miter lim="800000"/>
                          <a:headEnd/>
                          <a:tailEnd/>
                        </a:ln>
                      </pic:spPr>
                    </pic:pic>
                  </a:graphicData>
                </a:graphic>
              </wp:inline>
            </w:drawing>
          </w:r>
        </w:p>
      </w:tc>
      <w:tc>
        <w:tcPr>
          <w:tcW w:w="1134" w:type="pct"/>
          <w:tcMar>
            <w:left w:w="0" w:type="dxa"/>
            <w:right w:w="0" w:type="dxa"/>
          </w:tcMar>
        </w:tcPr>
        <w:p w:rsidR="00AB59E3" w:rsidRPr="00CA6E8C" w:rsidRDefault="00AB59E3" w:rsidP="00646180">
          <w:pPr>
            <w:spacing w:after="160" w:line="259" w:lineRule="auto"/>
            <w:ind w:right="-427"/>
            <w:rPr>
              <w:noProof/>
              <w:lang w:eastAsia="pl-PL"/>
            </w:rPr>
          </w:pPr>
          <w:r w:rsidRPr="00CA6E8C">
            <w:rPr>
              <w:noProof/>
              <w:lang w:eastAsia="pl-PL"/>
            </w:rPr>
            <w:drawing>
              <wp:inline distT="0" distB="0" distL="0" distR="0" wp14:anchorId="0F8D6CD1" wp14:editId="3F94534F">
                <wp:extent cx="957580" cy="440055"/>
                <wp:effectExtent l="19050" t="0" r="0" b="0"/>
                <wp:docPr id="10"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srcRect/>
                        <a:stretch>
                          <a:fillRect/>
                        </a:stretch>
                      </pic:blipFill>
                      <pic:spPr bwMode="auto">
                        <a:xfrm>
                          <a:off x="0" y="0"/>
                          <a:ext cx="957580" cy="440055"/>
                        </a:xfrm>
                        <a:prstGeom prst="rect">
                          <a:avLst/>
                        </a:prstGeom>
                        <a:noFill/>
                        <a:ln w="9525">
                          <a:noFill/>
                          <a:miter lim="800000"/>
                          <a:headEnd/>
                          <a:tailEnd/>
                        </a:ln>
                      </pic:spPr>
                    </pic:pic>
                  </a:graphicData>
                </a:graphic>
              </wp:inline>
            </w:drawing>
          </w:r>
        </w:p>
      </w:tc>
      <w:tc>
        <w:tcPr>
          <w:tcW w:w="1366" w:type="pct"/>
          <w:tcMar>
            <w:left w:w="0" w:type="dxa"/>
            <w:right w:w="0" w:type="dxa"/>
          </w:tcMar>
        </w:tcPr>
        <w:p w:rsidR="00AB59E3" w:rsidRPr="00CA6E8C" w:rsidRDefault="00AB59E3" w:rsidP="00646180">
          <w:pPr>
            <w:spacing w:after="160" w:line="259" w:lineRule="auto"/>
            <w:ind w:right="-427"/>
            <w:rPr>
              <w:noProof/>
              <w:lang w:eastAsia="pl-PL"/>
            </w:rPr>
          </w:pPr>
          <w:r w:rsidRPr="00CA6E8C">
            <w:rPr>
              <w:noProof/>
              <w:lang w:eastAsia="pl-PL"/>
            </w:rPr>
            <w:drawing>
              <wp:inline distT="0" distB="0" distL="0" distR="0" wp14:anchorId="384CDF2F" wp14:editId="781ACD9C">
                <wp:extent cx="1619885" cy="487045"/>
                <wp:effectExtent l="0" t="0" r="0" b="8255"/>
                <wp:docPr id="11" name="Obraz 11" descr="UE_EFS_284d9ae3-9a65-499a-ae4a-e1cbf7a0d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_EFS_284d9ae3-9a65-499a-ae4a-e1cbf7a0db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885" cy="487045"/>
                        </a:xfrm>
                        <a:prstGeom prst="rect">
                          <a:avLst/>
                        </a:prstGeom>
                        <a:noFill/>
                        <a:ln>
                          <a:noFill/>
                        </a:ln>
                      </pic:spPr>
                    </pic:pic>
                  </a:graphicData>
                </a:graphic>
              </wp:inline>
            </w:drawing>
          </w:r>
        </w:p>
      </w:tc>
    </w:tr>
  </w:tbl>
  <w:p w:rsidR="00AB59E3" w:rsidRDefault="00AB59E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78" w:rsidRDefault="00CC227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9694B"/>
    <w:multiLevelType w:val="hybridMultilevel"/>
    <w:tmpl w:val="67640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3165313"/>
    <w:multiLevelType w:val="hybridMultilevel"/>
    <w:tmpl w:val="B1F69EDC"/>
    <w:lvl w:ilvl="0" w:tplc="8D5A33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D7B1F19"/>
    <w:multiLevelType w:val="hybridMultilevel"/>
    <w:tmpl w:val="67640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B1C"/>
    <w:rsid w:val="0000613C"/>
    <w:rsid w:val="00054590"/>
    <w:rsid w:val="001A720B"/>
    <w:rsid w:val="00224E8B"/>
    <w:rsid w:val="00286C5F"/>
    <w:rsid w:val="002B5464"/>
    <w:rsid w:val="002D6411"/>
    <w:rsid w:val="00340376"/>
    <w:rsid w:val="00345988"/>
    <w:rsid w:val="00407255"/>
    <w:rsid w:val="0050045B"/>
    <w:rsid w:val="005D0FCF"/>
    <w:rsid w:val="006A5A84"/>
    <w:rsid w:val="0070237F"/>
    <w:rsid w:val="0072217B"/>
    <w:rsid w:val="007328CA"/>
    <w:rsid w:val="007A38FD"/>
    <w:rsid w:val="00920B4E"/>
    <w:rsid w:val="00A31F6B"/>
    <w:rsid w:val="00AB59E3"/>
    <w:rsid w:val="00AF6B8C"/>
    <w:rsid w:val="00B15B1C"/>
    <w:rsid w:val="00BD41FE"/>
    <w:rsid w:val="00CC2278"/>
    <w:rsid w:val="00FD5154"/>
    <w:rsid w:val="00FD6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15B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D41FE"/>
    <w:pPr>
      <w:ind w:left="720"/>
      <w:contextualSpacing/>
    </w:pPr>
  </w:style>
  <w:style w:type="paragraph" w:customStyle="1" w:styleId="Standard">
    <w:name w:val="Standard"/>
    <w:rsid w:val="00286C5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4072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7255"/>
    <w:rPr>
      <w:rFonts w:ascii="Tahoma" w:hAnsi="Tahoma" w:cs="Tahoma"/>
      <w:sz w:val="16"/>
      <w:szCs w:val="16"/>
    </w:rPr>
  </w:style>
  <w:style w:type="paragraph" w:styleId="Nagwek">
    <w:name w:val="header"/>
    <w:basedOn w:val="Normalny"/>
    <w:link w:val="NagwekZnak"/>
    <w:uiPriority w:val="99"/>
    <w:unhideWhenUsed/>
    <w:rsid w:val="00AB59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59E3"/>
  </w:style>
  <w:style w:type="paragraph" w:styleId="Stopka">
    <w:name w:val="footer"/>
    <w:basedOn w:val="Normalny"/>
    <w:link w:val="StopkaZnak"/>
    <w:uiPriority w:val="99"/>
    <w:unhideWhenUsed/>
    <w:rsid w:val="00AB59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59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15B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D41FE"/>
    <w:pPr>
      <w:ind w:left="720"/>
      <w:contextualSpacing/>
    </w:pPr>
  </w:style>
  <w:style w:type="paragraph" w:customStyle="1" w:styleId="Standard">
    <w:name w:val="Standard"/>
    <w:rsid w:val="00286C5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4072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7255"/>
    <w:rPr>
      <w:rFonts w:ascii="Tahoma" w:hAnsi="Tahoma" w:cs="Tahoma"/>
      <w:sz w:val="16"/>
      <w:szCs w:val="16"/>
    </w:rPr>
  </w:style>
  <w:style w:type="paragraph" w:styleId="Nagwek">
    <w:name w:val="header"/>
    <w:basedOn w:val="Normalny"/>
    <w:link w:val="NagwekZnak"/>
    <w:uiPriority w:val="99"/>
    <w:unhideWhenUsed/>
    <w:rsid w:val="00AB59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59E3"/>
  </w:style>
  <w:style w:type="paragraph" w:styleId="Stopka">
    <w:name w:val="footer"/>
    <w:basedOn w:val="Normalny"/>
    <w:link w:val="StopkaZnak"/>
    <w:uiPriority w:val="99"/>
    <w:unhideWhenUsed/>
    <w:rsid w:val="00AB59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5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045557">
      <w:bodyDiv w:val="1"/>
      <w:marLeft w:val="0"/>
      <w:marRight w:val="0"/>
      <w:marTop w:val="0"/>
      <w:marBottom w:val="0"/>
      <w:divBdr>
        <w:top w:val="none" w:sz="0" w:space="0" w:color="auto"/>
        <w:left w:val="none" w:sz="0" w:space="0" w:color="auto"/>
        <w:bottom w:val="none" w:sz="0" w:space="0" w:color="auto"/>
        <w:right w:val="none" w:sz="0" w:space="0" w:color="auto"/>
      </w:divBdr>
      <w:divsChild>
        <w:div w:id="1933202952">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4449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kmilczarek</dc:creator>
  <cp:lastModifiedBy>kmilczarek</cp:lastModifiedBy>
  <cp:revision>3</cp:revision>
  <dcterms:created xsi:type="dcterms:W3CDTF">2019-03-28T20:05:00Z</dcterms:created>
  <dcterms:modified xsi:type="dcterms:W3CDTF">2019-04-01T12:35:00Z</dcterms:modified>
</cp:coreProperties>
</file>